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94E6C" w14:textId="1C98D4B3" w:rsidR="007547CD" w:rsidRPr="00276F20" w:rsidRDefault="007547CD" w:rsidP="007547CD">
      <w:pPr>
        <w:pStyle w:val="3GPPHeader"/>
        <w:spacing w:after="60"/>
        <w:rPr>
          <w:sz w:val="32"/>
          <w:szCs w:val="32"/>
          <w:highlight w:val="yellow"/>
        </w:rPr>
      </w:pPr>
      <w:r w:rsidRPr="00276F20">
        <w:t>3GPP TSG-RAN WG4 Meeting #</w:t>
      </w:r>
      <w:r>
        <w:t>10</w:t>
      </w:r>
      <w:r w:rsidR="00C123A7">
        <w:t>9</w:t>
      </w:r>
      <w:r w:rsidR="002726E9">
        <w:t xml:space="preserve">     </w:t>
      </w:r>
      <w:r>
        <w:t xml:space="preserve">                                    </w:t>
      </w:r>
      <w:r w:rsidR="007B04C0">
        <w:t xml:space="preserve">              </w:t>
      </w:r>
      <w:r>
        <w:t>R4-2</w:t>
      </w:r>
      <w:r w:rsidR="001420AA">
        <w:t>3</w:t>
      </w:r>
      <w:r w:rsidR="002457A2">
        <w:t>1</w:t>
      </w:r>
      <w:r w:rsidR="00E757A0">
        <w:t>9225</w:t>
      </w:r>
    </w:p>
    <w:p w14:paraId="1DB284EA" w14:textId="35D755CF" w:rsidR="007547CD" w:rsidRPr="00276F20" w:rsidRDefault="00C123A7" w:rsidP="007547CD">
      <w:pPr>
        <w:pStyle w:val="3GPPHeader"/>
      </w:pPr>
      <w:bookmarkStart w:id="0" w:name="OLE_LINK3"/>
      <w:bookmarkStart w:id="1" w:name="OLE_LINK4"/>
      <w:r>
        <w:rPr>
          <w:rFonts w:cs="Arial"/>
        </w:rPr>
        <w:t>Chicago</w:t>
      </w:r>
      <w:r w:rsidR="00825E61" w:rsidRPr="00103825">
        <w:rPr>
          <w:rFonts w:cs="Arial"/>
        </w:rPr>
        <w:t xml:space="preserve">, </w:t>
      </w:r>
      <w:r>
        <w:rPr>
          <w:rFonts w:cs="Arial"/>
        </w:rPr>
        <w:t>US</w:t>
      </w:r>
      <w:r w:rsidR="00825E61" w:rsidRPr="00103825">
        <w:rPr>
          <w:rFonts w:cs="Arial"/>
        </w:rPr>
        <w:t xml:space="preserve">, </w:t>
      </w:r>
      <w:r w:rsidR="003E7162">
        <w:t>13</w:t>
      </w:r>
      <w:r w:rsidR="00AD51BF" w:rsidRPr="00AD51BF">
        <w:rPr>
          <w:vertAlign w:val="superscript"/>
        </w:rPr>
        <w:t>th</w:t>
      </w:r>
      <w:r w:rsidR="00AD51BF">
        <w:t xml:space="preserve"> </w:t>
      </w:r>
      <w:r w:rsidR="007547CD" w:rsidRPr="003422AE">
        <w:t xml:space="preserve">– </w:t>
      </w:r>
      <w:r w:rsidR="004E5B76">
        <w:t>1</w:t>
      </w:r>
      <w:r w:rsidR="003E7162">
        <w:t>7</w:t>
      </w:r>
      <w:r w:rsidR="00AD51BF" w:rsidRPr="00AD51BF">
        <w:rPr>
          <w:vertAlign w:val="superscript"/>
        </w:rPr>
        <w:t>th</w:t>
      </w:r>
      <w:r w:rsidR="00AD51BF">
        <w:t xml:space="preserve"> </w:t>
      </w:r>
      <w:r w:rsidR="003E7162">
        <w:t>Nov</w:t>
      </w:r>
      <w:r w:rsidR="00831577">
        <w:t>.</w:t>
      </w:r>
      <w:r w:rsidR="007547CD">
        <w:t xml:space="preserve"> </w:t>
      </w:r>
      <w:r w:rsidR="007547CD" w:rsidRPr="003422AE">
        <w:t>202</w:t>
      </w:r>
      <w:r w:rsidR="001420AA">
        <w:t>3</w:t>
      </w:r>
    </w:p>
    <w:bookmarkEnd w:id="0"/>
    <w:bookmarkEnd w:id="1"/>
    <w:p w14:paraId="53427C63" w14:textId="77777777" w:rsidR="0054030B" w:rsidRPr="00B42E8B" w:rsidRDefault="0054030B" w:rsidP="0054030B">
      <w:pPr>
        <w:pStyle w:val="3GPPHeader"/>
      </w:pPr>
    </w:p>
    <w:p w14:paraId="38AAD043" w14:textId="255185CC" w:rsidR="0054030B" w:rsidRPr="00B42E8B" w:rsidRDefault="0054030B" w:rsidP="0054030B">
      <w:pPr>
        <w:pStyle w:val="3GPPHeader"/>
        <w:rPr>
          <w:sz w:val="22"/>
        </w:rPr>
      </w:pPr>
      <w:r w:rsidRPr="00CB42FA">
        <w:rPr>
          <w:sz w:val="22"/>
        </w:rPr>
        <w:t>Agenda Item:</w:t>
      </w:r>
      <w:r w:rsidRPr="00CB42FA">
        <w:rPr>
          <w:sz w:val="22"/>
        </w:rPr>
        <w:tab/>
      </w:r>
      <w:r w:rsidR="00CB42FA">
        <w:rPr>
          <w:sz w:val="22"/>
        </w:rPr>
        <w:t>8.</w:t>
      </w:r>
      <w:r w:rsidR="00726C13">
        <w:rPr>
          <w:sz w:val="22"/>
        </w:rPr>
        <w:t>33.6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6074B10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DB4D62">
        <w:rPr>
          <w:sz w:val="22"/>
        </w:rPr>
        <w:t>Overview on the demodulation requirement for mIAB-MT and mIAB-DU</w:t>
      </w:r>
    </w:p>
    <w:p w14:paraId="23174EA8" w14:textId="1B47DEA7" w:rsidR="007B3841" w:rsidRPr="00B42E8B" w:rsidRDefault="0054030B" w:rsidP="007B3841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CB42FA">
        <w:rPr>
          <w:sz w:val="22"/>
        </w:rPr>
        <w:t>Discussion</w:t>
      </w:r>
    </w:p>
    <w:p w14:paraId="0BFC1FC8" w14:textId="729EB5B3" w:rsidR="007B3841" w:rsidRPr="00B4687A" w:rsidRDefault="007B3841" w:rsidP="00B4687A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74E14F66" w14:textId="77777777" w:rsidR="00690861" w:rsidRDefault="00D47464" w:rsidP="00690861">
      <w:pPr>
        <w:pStyle w:val="maintext"/>
        <w:spacing w:line="240" w:lineRule="auto"/>
        <w:ind w:firstLineChars="0" w:firstLine="0"/>
        <w:rPr>
          <w:rFonts w:eastAsia="Times New Roman" w:cs="Times New Roman"/>
          <w:lang w:eastAsia="en-US"/>
        </w:rPr>
      </w:pPr>
      <w:bookmarkStart w:id="2" w:name="_Hlk528680199"/>
      <w:r>
        <w:t xml:space="preserve">This is the first meeting for the demodulation part for </w:t>
      </w:r>
      <w:r w:rsidR="005E174E">
        <w:rPr>
          <w:rFonts w:eastAsia="Times New Roman" w:cs="Times New Roman"/>
          <w:lang w:eastAsia="en-US"/>
        </w:rPr>
        <w:t xml:space="preserve">Mobile Integrated Access and Backhaul (IAB) </w:t>
      </w:r>
      <w:r>
        <w:t>discussion.</w:t>
      </w:r>
      <w:r w:rsidR="003D5AA6">
        <w:t xml:space="preserve"> </w:t>
      </w:r>
      <w:r w:rsidR="005E174E">
        <w:t xml:space="preserve">mIAB is built on the </w:t>
      </w:r>
      <w:r w:rsidR="000A1A7D">
        <w:rPr>
          <w:rFonts w:eastAsia="Times New Roman" w:cs="Times New Roman"/>
          <w:lang w:eastAsia="en-US"/>
        </w:rPr>
        <w:t xml:space="preserve">architecture and protocols derived in the Rel-17 WI </w:t>
      </w:r>
      <w:r w:rsidR="000A1A7D" w:rsidRPr="006266D5">
        <w:rPr>
          <w:rFonts w:eastAsia="Times New Roman" w:cs="Times New Roman"/>
          <w:lang w:eastAsia="en-US"/>
        </w:rPr>
        <w:t>NR_IAB_enh</w:t>
      </w:r>
      <w:r w:rsidR="000A1A7D">
        <w:rPr>
          <w:rFonts w:eastAsia="Times New Roman" w:cs="Times New Roman"/>
          <w:lang w:eastAsia="en-US"/>
        </w:rPr>
        <w:t xml:space="preserve">, which provided IAB improvements on various aspects such as robustness, load-balancing, spectral efficiency, and end-to-end performance. The work on mIAB in Rel-18 will be focusing on the scenario of </w:t>
      </w:r>
      <w:r w:rsidR="00690861" w:rsidRPr="00E71429">
        <w:rPr>
          <w:rFonts w:eastAsia="Times New Roman" w:cs="Times New Roman"/>
          <w:lang w:eastAsia="en-US"/>
        </w:rPr>
        <w:t>mobile-IAB-nodes mounted on vehicles providing 5G coverage/capacity</w:t>
      </w:r>
      <w:r w:rsidR="00690861">
        <w:rPr>
          <w:rFonts w:eastAsia="Times New Roman" w:cs="Times New Roman"/>
          <w:lang w:eastAsia="en-US"/>
        </w:rPr>
        <w:t xml:space="preserve"> </w:t>
      </w:r>
      <w:r w:rsidR="00690861" w:rsidRPr="00E71429">
        <w:rPr>
          <w:rFonts w:eastAsia="Times New Roman" w:cs="Times New Roman"/>
          <w:lang w:eastAsia="en-US"/>
        </w:rPr>
        <w:t>enhancement to onboard and/or surrounding UEs</w:t>
      </w:r>
      <w:r w:rsidR="00690861">
        <w:rPr>
          <w:rFonts w:eastAsia="Times New Roman" w:cs="Times New Roman"/>
          <w:lang w:eastAsia="en-US"/>
        </w:rPr>
        <w:t xml:space="preserve">. </w:t>
      </w:r>
    </w:p>
    <w:p w14:paraId="426EFAFD" w14:textId="77777777" w:rsidR="00645487" w:rsidRDefault="00645487" w:rsidP="00645487">
      <w:pPr>
        <w:pStyle w:val="maintext"/>
        <w:spacing w:line="240" w:lineRule="auto"/>
        <w:ind w:firstLineChars="0" w:firstLine="0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>In Rel-18, mobile IAB supports the following functionality, applicable to FR1 and FR2:</w:t>
      </w:r>
    </w:p>
    <w:p w14:paraId="369F8D82" w14:textId="77777777" w:rsidR="00645487" w:rsidRPr="00E71429" w:rsidRDefault="00645487" w:rsidP="00645487">
      <w:pPr>
        <w:pStyle w:val="maintext"/>
        <w:numPr>
          <w:ilvl w:val="0"/>
          <w:numId w:val="30"/>
        </w:numPr>
        <w:spacing w:line="240" w:lineRule="auto"/>
        <w:ind w:firstLineChars="0"/>
        <w:rPr>
          <w:rFonts w:eastAsia="Times New Roman" w:cs="Times New Roman"/>
          <w:lang w:eastAsia="en-US"/>
        </w:rPr>
      </w:pPr>
      <w:r w:rsidRPr="00E71429">
        <w:rPr>
          <w:rFonts w:eastAsia="Times New Roman" w:cs="Times New Roman"/>
          <w:lang w:eastAsia="en-US"/>
        </w:rPr>
        <w:t>In-band and out-of-band backhauling.</w:t>
      </w:r>
    </w:p>
    <w:p w14:paraId="220486A6" w14:textId="77777777" w:rsidR="00645487" w:rsidRPr="00E71429" w:rsidRDefault="00645487" w:rsidP="00645487">
      <w:pPr>
        <w:pStyle w:val="maintext"/>
        <w:numPr>
          <w:ilvl w:val="0"/>
          <w:numId w:val="30"/>
        </w:numPr>
        <w:spacing w:line="240" w:lineRule="auto"/>
        <w:ind w:firstLineChars="0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>The mobile IAB-node should have no descendent IAB-nodes, i.e., it serves only UEs.</w:t>
      </w:r>
    </w:p>
    <w:p w14:paraId="22AE60A7" w14:textId="77777777" w:rsidR="00645487" w:rsidRDefault="00645487" w:rsidP="00645487">
      <w:pPr>
        <w:pStyle w:val="maintext"/>
        <w:numPr>
          <w:ilvl w:val="0"/>
          <w:numId w:val="30"/>
        </w:numPr>
        <w:spacing w:line="240" w:lineRule="auto"/>
        <w:ind w:firstLineChars="0"/>
        <w:rPr>
          <w:rFonts w:eastAsia="Times New Roman" w:cs="Times New Roman"/>
          <w:lang w:eastAsia="en-US"/>
        </w:rPr>
      </w:pPr>
      <w:r w:rsidRPr="00E71429">
        <w:rPr>
          <w:rFonts w:eastAsia="Times New Roman" w:cs="Times New Roman"/>
          <w:lang w:eastAsia="en-US"/>
        </w:rPr>
        <w:t xml:space="preserve">Solutions should support UE HO and </w:t>
      </w:r>
      <w:r>
        <w:rPr>
          <w:rFonts w:eastAsia="Times New Roman" w:cs="Times New Roman"/>
          <w:lang w:eastAsia="en-US"/>
        </w:rPr>
        <w:t xml:space="preserve">UE </w:t>
      </w:r>
      <w:r w:rsidRPr="00E71429">
        <w:rPr>
          <w:rFonts w:eastAsia="Times New Roman" w:cs="Times New Roman"/>
          <w:lang w:eastAsia="en-US"/>
        </w:rPr>
        <w:t>DC.</w:t>
      </w:r>
    </w:p>
    <w:p w14:paraId="48DE3B64" w14:textId="77777777" w:rsidR="00B12223" w:rsidRPr="00E71429" w:rsidRDefault="003D5AA6" w:rsidP="00B12223">
      <w:pPr>
        <w:pStyle w:val="maintext"/>
        <w:spacing w:line="240" w:lineRule="auto"/>
        <w:ind w:firstLineChars="0" w:firstLine="0"/>
        <w:jc w:val="left"/>
        <w:rPr>
          <w:rFonts w:eastAsia="Times New Roman" w:cs="Times New Roman"/>
          <w:lang w:eastAsia="en-US"/>
        </w:rPr>
      </w:pPr>
      <w:r>
        <w:t>According to the WID</w:t>
      </w:r>
      <w:r w:rsidR="00645487">
        <w:t xml:space="preserve">, </w:t>
      </w:r>
      <w:r w:rsidR="00B12223">
        <w:rPr>
          <w:rFonts w:eastAsia="Times New Roman" w:cs="Times New Roman"/>
          <w:lang w:eastAsia="en-US"/>
        </w:rPr>
        <w:t xml:space="preserve">RAN4 is expected </w:t>
      </w:r>
      <w:r w:rsidR="00B12223" w:rsidRPr="00E71429">
        <w:rPr>
          <w:rFonts w:eastAsia="Times New Roman" w:cs="Times New Roman"/>
          <w:lang w:eastAsia="en-US"/>
        </w:rPr>
        <w:t>to study impact on</w:t>
      </w:r>
      <w:r w:rsidR="00B12223">
        <w:rPr>
          <w:rFonts w:eastAsia="Times New Roman" w:cs="Times New Roman"/>
          <w:lang w:eastAsia="en-US"/>
        </w:rPr>
        <w:t xml:space="preserve"> RF and </w:t>
      </w:r>
      <w:r w:rsidR="00B12223" w:rsidRPr="00E71429">
        <w:rPr>
          <w:rFonts w:eastAsia="Times New Roman" w:cs="Times New Roman"/>
          <w:lang w:eastAsia="en-US"/>
        </w:rPr>
        <w:t>RRM</w:t>
      </w:r>
      <w:r w:rsidR="00B12223">
        <w:rPr>
          <w:rFonts w:eastAsia="Times New Roman" w:cs="Times New Roman"/>
          <w:lang w:eastAsia="en-US"/>
        </w:rPr>
        <w:t xml:space="preserve"> requirements:</w:t>
      </w:r>
    </w:p>
    <w:p w14:paraId="109942C6" w14:textId="77777777" w:rsidR="00B12223" w:rsidRPr="000F2308" w:rsidRDefault="00B12223" w:rsidP="00B12223">
      <w:pPr>
        <w:pStyle w:val="maintext"/>
        <w:numPr>
          <w:ilvl w:val="0"/>
          <w:numId w:val="31"/>
        </w:numPr>
        <w:spacing w:line="240" w:lineRule="auto"/>
        <w:ind w:firstLineChars="0"/>
        <w:jc w:val="left"/>
        <w:rPr>
          <w:rFonts w:eastAsia="Times New Roman" w:cs="Times New Roman"/>
          <w:lang w:eastAsia="en-US"/>
        </w:rPr>
      </w:pPr>
      <w:r w:rsidRPr="000F2308">
        <w:rPr>
          <w:rFonts w:eastAsia="Times New Roman" w:cs="Times New Roman"/>
          <w:lang w:eastAsia="en-US"/>
        </w:rPr>
        <w:t xml:space="preserve">Conduct co-existence study to assess the impact of moving cells. Based on the study outcome, specify RF and RRM requirements and mechanisms </w:t>
      </w:r>
      <w:r>
        <w:rPr>
          <w:rFonts w:eastAsia="Times New Roman" w:cs="Times New Roman"/>
          <w:lang w:eastAsia="en-US"/>
        </w:rPr>
        <w:t xml:space="preserve">for the mobile IAB-node </w:t>
      </w:r>
      <w:r w:rsidRPr="000F2308">
        <w:rPr>
          <w:rFonts w:eastAsia="Times New Roman" w:cs="Times New Roman"/>
          <w:lang w:eastAsia="en-US"/>
        </w:rPr>
        <w:t>to enable co-existence</w:t>
      </w:r>
      <w:r>
        <w:rPr>
          <w:rFonts w:eastAsia="Times New Roman" w:cs="Times New Roman"/>
          <w:lang w:eastAsia="en-US"/>
        </w:rPr>
        <w:t>, if needed.</w:t>
      </w:r>
      <w:r w:rsidRPr="000F2308">
        <w:rPr>
          <w:rFonts w:eastAsia="Times New Roman" w:cs="Times New Roman"/>
          <w:lang w:eastAsia="en-US"/>
        </w:rPr>
        <w:t xml:space="preserve"> </w:t>
      </w:r>
    </w:p>
    <w:p w14:paraId="62A3586E" w14:textId="77777777" w:rsidR="00B12223" w:rsidRPr="000F2308" w:rsidRDefault="00B12223" w:rsidP="00B12223">
      <w:pPr>
        <w:pStyle w:val="maintext"/>
        <w:numPr>
          <w:ilvl w:val="0"/>
          <w:numId w:val="31"/>
        </w:numPr>
        <w:spacing w:line="240" w:lineRule="auto"/>
        <w:ind w:firstLineChars="0"/>
        <w:jc w:val="left"/>
        <w:rPr>
          <w:rFonts w:eastAsia="Times New Roman" w:cs="Times New Roman"/>
          <w:lang w:eastAsia="en-US"/>
        </w:rPr>
      </w:pPr>
      <w:r w:rsidRPr="000F2308">
        <w:rPr>
          <w:rFonts w:eastAsia="Times New Roman" w:cs="Times New Roman"/>
          <w:lang w:eastAsia="en-US"/>
        </w:rPr>
        <w:t xml:space="preserve">Specify RRM requirements </w:t>
      </w:r>
      <w:r>
        <w:rPr>
          <w:rFonts w:eastAsia="Times New Roman" w:cs="Times New Roman"/>
          <w:lang w:eastAsia="en-US"/>
        </w:rPr>
        <w:t xml:space="preserve">for the mobile IAB-node </w:t>
      </w:r>
      <w:r w:rsidRPr="000F2308">
        <w:rPr>
          <w:rFonts w:eastAsia="Times New Roman" w:cs="Times New Roman"/>
          <w:lang w:eastAsia="en-US"/>
        </w:rPr>
        <w:t xml:space="preserve">to enable </w:t>
      </w:r>
      <w:r>
        <w:rPr>
          <w:rFonts w:eastAsia="Times New Roman" w:cs="Times New Roman"/>
          <w:lang w:eastAsia="en-US"/>
        </w:rPr>
        <w:t xml:space="preserve">IAB-node </w:t>
      </w:r>
      <w:r w:rsidRPr="000F2308">
        <w:rPr>
          <w:rFonts w:eastAsia="Times New Roman" w:cs="Times New Roman"/>
          <w:lang w:eastAsia="en-US"/>
        </w:rPr>
        <w:t>mobility</w:t>
      </w:r>
      <w:r>
        <w:rPr>
          <w:rFonts w:eastAsia="Times New Roman" w:cs="Times New Roman"/>
          <w:lang w:eastAsia="en-US"/>
        </w:rPr>
        <w:t>, if needed.</w:t>
      </w:r>
    </w:p>
    <w:p w14:paraId="74E216DE" w14:textId="290D8051" w:rsidR="00DB4D62" w:rsidRDefault="00B12223" w:rsidP="00473F84">
      <w:pPr>
        <w:spacing w:afterLines="50" w:after="120"/>
      </w:pPr>
      <w:r>
        <w:t xml:space="preserve">As for the </w:t>
      </w:r>
      <w:r w:rsidR="001E10B1">
        <w:t xml:space="preserve">objective of Performance part WI, it’s expected to specify RRM </w:t>
      </w:r>
      <w:r w:rsidR="009F1778" w:rsidRPr="003A641D">
        <w:rPr>
          <w:rFonts w:eastAsia="Times New Roman" w:cstheme="minorHAnsi"/>
          <w:iCs/>
          <w:lang w:eastAsia="en-US"/>
        </w:rPr>
        <w:t>and demodulation performance requirements for the mobile IAB</w:t>
      </w:r>
      <w:r w:rsidR="009F1778">
        <w:rPr>
          <w:rFonts w:eastAsia="Times New Roman" w:cstheme="minorHAnsi"/>
          <w:iCs/>
          <w:lang w:eastAsia="en-US"/>
        </w:rPr>
        <w:t>-</w:t>
      </w:r>
      <w:r w:rsidR="009F1778" w:rsidRPr="003A641D">
        <w:rPr>
          <w:rFonts w:eastAsia="Times New Roman" w:cstheme="minorHAnsi"/>
          <w:iCs/>
          <w:lang w:eastAsia="en-US"/>
        </w:rPr>
        <w:t xml:space="preserve">node by </w:t>
      </w:r>
      <w:r w:rsidR="00DB4C6D" w:rsidRPr="003A641D">
        <w:rPr>
          <w:rFonts w:eastAsia="Times New Roman" w:cstheme="minorHAnsi"/>
          <w:iCs/>
          <w:lang w:eastAsia="en-US"/>
        </w:rPr>
        <w:t>considering</w:t>
      </w:r>
      <w:r w:rsidR="009F1778" w:rsidRPr="003A641D">
        <w:rPr>
          <w:rFonts w:eastAsia="Times New Roman" w:cstheme="minorHAnsi"/>
          <w:iCs/>
          <w:lang w:eastAsia="en-US"/>
        </w:rPr>
        <w:t xml:space="preserve"> IAB-node mobility</w:t>
      </w:r>
      <w:r w:rsidR="009F1778">
        <w:rPr>
          <w:rFonts w:eastAsia="Times New Roman" w:cstheme="minorHAnsi"/>
          <w:iCs/>
          <w:lang w:eastAsia="en-US"/>
        </w:rPr>
        <w:t>, if needed.[1]</w:t>
      </w:r>
    </w:p>
    <w:p w14:paraId="2955125F" w14:textId="5C4D1E75" w:rsidR="00473F84" w:rsidRPr="006174B4" w:rsidRDefault="00DB4D62" w:rsidP="00473F84">
      <w:pPr>
        <w:spacing w:afterLines="50" w:after="120"/>
        <w:rPr>
          <w:rFonts w:cstheme="minorHAnsi"/>
          <w:sz w:val="20"/>
          <w:szCs w:val="20"/>
        </w:rPr>
      </w:pPr>
      <w:r>
        <w:t>In this contribution,</w:t>
      </w:r>
      <w:r w:rsidR="009F1778">
        <w:t xml:space="preserve"> we </w:t>
      </w:r>
      <w:r w:rsidR="005068CA">
        <w:t>separate</w:t>
      </w:r>
      <w:r w:rsidR="008E0E19">
        <w:t>d</w:t>
      </w:r>
      <w:r w:rsidR="005068CA">
        <w:t xml:space="preserve"> our discussion to mIAB-MT and mIAB-</w:t>
      </w:r>
      <w:proofErr w:type="gramStart"/>
      <w:r w:rsidR="005068CA">
        <w:t>DU, and</w:t>
      </w:r>
      <w:proofErr w:type="gramEnd"/>
      <w:r w:rsidR="005068CA">
        <w:t xml:space="preserve"> </w:t>
      </w:r>
      <w:r w:rsidR="009F1778">
        <w:t>g</w:t>
      </w:r>
      <w:r w:rsidR="008E0E19">
        <w:t>a</w:t>
      </w:r>
      <w:r w:rsidR="009F1778">
        <w:t xml:space="preserve">ve our overview on the </w:t>
      </w:r>
      <w:r w:rsidR="008E0E19">
        <w:t xml:space="preserve">corresponding </w:t>
      </w:r>
      <w:r w:rsidR="002F2CBC">
        <w:t>demodulation performance part</w:t>
      </w:r>
      <w:r w:rsidR="008E0E19">
        <w:t>.</w:t>
      </w:r>
    </w:p>
    <w:bookmarkEnd w:id="2"/>
    <w:p w14:paraId="1FA95D63" w14:textId="28B884A3" w:rsidR="007B3841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21ED62D7" w14:textId="35EF2D96" w:rsidR="004F60F9" w:rsidRDefault="00654837" w:rsidP="004F60F9">
      <w:r>
        <w:t>Comparing with Rel-17</w:t>
      </w:r>
      <w:r w:rsidR="004F60F9">
        <w:t xml:space="preserve">, the </w:t>
      </w:r>
      <w:r w:rsidR="005E6D28">
        <w:t xml:space="preserve">rel-18 </w:t>
      </w:r>
      <w:r w:rsidR="0044091A">
        <w:t xml:space="preserve">enhancement on IAB is on the mobility so that </w:t>
      </w:r>
      <w:r w:rsidR="00A63CA2">
        <w:t xml:space="preserve">the IAB node is mounted on the moving vehicle to serve </w:t>
      </w:r>
      <w:r w:rsidR="0035332A">
        <w:t xml:space="preserve">onboard and/or surrounding UEs. Figure 2-1 illustrated the </w:t>
      </w:r>
      <w:r w:rsidR="00986AC5">
        <w:t>terminology of mIAB.</w:t>
      </w:r>
    </w:p>
    <w:p w14:paraId="396992A7" w14:textId="4C69671C" w:rsidR="009A2E7D" w:rsidRDefault="00F14087" w:rsidP="00F14087">
      <w:pPr>
        <w:jc w:val="center"/>
        <w:rPr>
          <w:lang w:eastAsia="ja-JP"/>
        </w:rPr>
      </w:pPr>
      <w:r>
        <w:rPr>
          <w:noProof/>
          <w:lang w:eastAsia="ja-JP"/>
        </w:rPr>
        <w:lastRenderedPageBreak/>
        <w:drawing>
          <wp:inline distT="0" distB="0" distL="0" distR="0" wp14:anchorId="4CA0DAE8" wp14:editId="711B6EBB">
            <wp:extent cx="5540318" cy="1789043"/>
            <wp:effectExtent l="0" t="0" r="381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3310" cy="17996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0A6860" w14:textId="00C9888D" w:rsidR="00321109" w:rsidRDefault="00321109" w:rsidP="00F14087">
      <w:pPr>
        <w:jc w:val="center"/>
        <w:rPr>
          <w:lang w:eastAsia="ja-JP"/>
        </w:rPr>
      </w:pPr>
      <w:r>
        <w:rPr>
          <w:lang w:eastAsia="ja-JP"/>
        </w:rPr>
        <w:t>Figure 2-1 Illustration on the mIAB terminology</w:t>
      </w:r>
    </w:p>
    <w:p w14:paraId="07972882" w14:textId="4AE32673" w:rsidR="009A2E7D" w:rsidRDefault="00BD34AD" w:rsidP="004F60F9">
      <w:pPr>
        <w:rPr>
          <w:lang w:eastAsia="ja-JP"/>
        </w:rPr>
      </w:pPr>
      <w:r>
        <w:rPr>
          <w:lang w:eastAsia="ja-JP"/>
        </w:rPr>
        <w:t xml:space="preserve">With </w:t>
      </w:r>
      <w:r w:rsidR="008734F7">
        <w:rPr>
          <w:lang w:eastAsia="ja-JP"/>
        </w:rPr>
        <w:t>adding the mobility, same functionali</w:t>
      </w:r>
      <w:r w:rsidR="00665B08">
        <w:rPr>
          <w:lang w:eastAsia="ja-JP"/>
        </w:rPr>
        <w:t xml:space="preserve">ties are supported </w:t>
      </w:r>
      <w:r w:rsidR="00E46FBC">
        <w:rPr>
          <w:lang w:eastAsia="ja-JP"/>
        </w:rPr>
        <w:t xml:space="preserve">so that the IAB node, which is </w:t>
      </w:r>
      <w:r w:rsidR="002C0896">
        <w:rPr>
          <w:lang w:eastAsia="ja-JP"/>
        </w:rPr>
        <w:t xml:space="preserve">assumed to be a moving vehicle </w:t>
      </w:r>
      <w:r w:rsidR="004F774A">
        <w:rPr>
          <w:lang w:eastAsia="ja-JP"/>
        </w:rPr>
        <w:t xml:space="preserve">will continue supporting </w:t>
      </w:r>
      <w:r w:rsidR="00264537" w:rsidRPr="00264537">
        <w:rPr>
          <w:lang w:eastAsia="ja-JP"/>
        </w:rPr>
        <w:t xml:space="preserve">access and data backhaul through </w:t>
      </w:r>
      <w:r w:rsidR="00264537">
        <w:rPr>
          <w:lang w:eastAsia="ja-JP"/>
        </w:rPr>
        <w:t>NR network</w:t>
      </w:r>
      <w:r w:rsidR="00264537" w:rsidRPr="00264537">
        <w:rPr>
          <w:lang w:eastAsia="ja-JP"/>
        </w:rPr>
        <w:t>. The network-side termination node for backhaul is called an IAB-donor, representing a gNB (5G base station) with additional IAB support functions. Backhaul in the 5G network can occur through a single or multiple hops</w:t>
      </w:r>
      <w:r w:rsidR="00824842">
        <w:rPr>
          <w:lang w:eastAsia="ja-JP"/>
        </w:rPr>
        <w:t xml:space="preserve">. </w:t>
      </w:r>
    </w:p>
    <w:p w14:paraId="245E57FE" w14:textId="76184BCF" w:rsidR="009A2E7D" w:rsidRPr="004F60F9" w:rsidRDefault="00E601D2" w:rsidP="004F60F9">
      <w:pPr>
        <w:rPr>
          <w:lang w:eastAsia="ja-JP"/>
        </w:rPr>
      </w:pPr>
      <w:r>
        <w:rPr>
          <w:lang w:eastAsia="ja-JP"/>
        </w:rPr>
        <w:t xml:space="preserve">According to the </w:t>
      </w:r>
      <w:r w:rsidR="009F6F55">
        <w:rPr>
          <w:lang w:eastAsia="ja-JP"/>
        </w:rPr>
        <w:t xml:space="preserve">detailed objectives, considerations shall be put </w:t>
      </w:r>
      <w:r w:rsidR="00442567">
        <w:rPr>
          <w:lang w:eastAsia="ja-JP"/>
        </w:rPr>
        <w:t>mainly on migration/topology adaptation to enable IAB-node mobility</w:t>
      </w:r>
      <w:r w:rsidR="00EC3B6A">
        <w:rPr>
          <w:lang w:eastAsia="ja-JP"/>
        </w:rPr>
        <w:t xml:space="preserve">, </w:t>
      </w:r>
      <w:r w:rsidR="006D5AD8">
        <w:rPr>
          <w:lang w:eastAsia="ja-JP"/>
        </w:rPr>
        <w:t>e</w:t>
      </w:r>
      <w:r w:rsidR="006D5AD8" w:rsidRPr="006D5AD8">
        <w:rPr>
          <w:lang w:eastAsia="ja-JP"/>
        </w:rPr>
        <w:t xml:space="preserve">nhancements for mobility of an IAB-node together with </w:t>
      </w:r>
      <w:proofErr w:type="gramStart"/>
      <w:r w:rsidR="006D5AD8" w:rsidRPr="006D5AD8">
        <w:rPr>
          <w:lang w:eastAsia="ja-JP"/>
        </w:rPr>
        <w:t>its</w:t>
      </w:r>
      <w:proofErr w:type="gramEnd"/>
      <w:r w:rsidR="006D5AD8" w:rsidRPr="006D5AD8">
        <w:rPr>
          <w:lang w:eastAsia="ja-JP"/>
        </w:rPr>
        <w:t xml:space="preserve"> served UEs</w:t>
      </w:r>
      <w:r w:rsidR="006D5AD8">
        <w:rPr>
          <w:lang w:eastAsia="ja-JP"/>
        </w:rPr>
        <w:t xml:space="preserve"> and </w:t>
      </w:r>
      <w:r w:rsidR="00242E0D">
        <w:rPr>
          <w:lang w:eastAsia="ja-JP"/>
        </w:rPr>
        <w:t>m</w:t>
      </w:r>
      <w:r w:rsidR="00242E0D" w:rsidRPr="00242E0D">
        <w:rPr>
          <w:lang w:eastAsia="ja-JP"/>
        </w:rPr>
        <w:t>itigation of interference due to IAB-node mobility</w:t>
      </w:r>
      <w:r w:rsidR="00242E0D">
        <w:rPr>
          <w:lang w:eastAsia="ja-JP"/>
        </w:rPr>
        <w:t xml:space="preserve">. Impact regarding to the demodulation processing </w:t>
      </w:r>
      <w:r w:rsidR="006D7CC8">
        <w:rPr>
          <w:lang w:eastAsia="ja-JP"/>
        </w:rPr>
        <w:t xml:space="preserve">with such mobility shall be analyzed to conclude whether </w:t>
      </w:r>
      <w:r w:rsidR="00BA2763">
        <w:rPr>
          <w:lang w:eastAsia="ja-JP"/>
        </w:rPr>
        <w:t xml:space="preserve">it’s needed to specify corresponding </w:t>
      </w:r>
      <w:r w:rsidR="00B515BC">
        <w:rPr>
          <w:lang w:eastAsia="ja-JP"/>
        </w:rPr>
        <w:t xml:space="preserve">demodulation </w:t>
      </w:r>
      <w:r w:rsidR="00BA2763">
        <w:rPr>
          <w:lang w:eastAsia="ja-JP"/>
        </w:rPr>
        <w:t xml:space="preserve">requirements. </w:t>
      </w:r>
      <w:r w:rsidR="001B6C4A">
        <w:rPr>
          <w:lang w:eastAsia="ja-JP"/>
        </w:rPr>
        <w:t>Separate discussion</w:t>
      </w:r>
      <w:r w:rsidR="007B6ED1">
        <w:rPr>
          <w:lang w:eastAsia="ja-JP"/>
        </w:rPr>
        <w:t>s</w:t>
      </w:r>
      <w:r w:rsidR="001B6C4A">
        <w:rPr>
          <w:lang w:eastAsia="ja-JP"/>
        </w:rPr>
        <w:t xml:space="preserve"> are established </w:t>
      </w:r>
      <w:r w:rsidR="00BC5298">
        <w:rPr>
          <w:lang w:eastAsia="ja-JP"/>
        </w:rPr>
        <w:t xml:space="preserve">in the following sections </w:t>
      </w:r>
      <w:r w:rsidR="00B868D7">
        <w:rPr>
          <w:lang w:eastAsia="ja-JP"/>
        </w:rPr>
        <w:t>for mIAB-MT and mIAB-DU.</w:t>
      </w:r>
    </w:p>
    <w:p w14:paraId="6EC74C49" w14:textId="76C6826A" w:rsidR="00B21B64" w:rsidRDefault="00B21B64" w:rsidP="001D0E62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2.1 </w:t>
      </w:r>
      <w:r w:rsidR="00B23AC3">
        <w:rPr>
          <w:rFonts w:ascii="Arial" w:eastAsia="MS Mincho" w:hAnsi="Arial" w:cs="Times New Roman"/>
          <w:sz w:val="32"/>
          <w:szCs w:val="20"/>
          <w:lang w:val="en-GB" w:eastAsia="ja-JP"/>
        </w:rPr>
        <w:t>m</w:t>
      </w:r>
      <w:r w:rsidR="00270D4C">
        <w:rPr>
          <w:rFonts w:ascii="Arial" w:eastAsia="MS Mincho" w:hAnsi="Arial" w:cs="Times New Roman"/>
          <w:sz w:val="32"/>
          <w:szCs w:val="20"/>
          <w:lang w:val="en-GB" w:eastAsia="ja-JP"/>
        </w:rPr>
        <w:t>I</w:t>
      </w:r>
      <w:r w:rsidR="00B23AC3">
        <w:rPr>
          <w:rFonts w:ascii="Arial" w:eastAsia="MS Mincho" w:hAnsi="Arial" w:cs="Times New Roman"/>
          <w:sz w:val="32"/>
          <w:szCs w:val="20"/>
          <w:lang w:val="en-GB" w:eastAsia="ja-JP"/>
        </w:rPr>
        <w:t>AB-MT</w:t>
      </w:r>
    </w:p>
    <w:p w14:paraId="08F91609" w14:textId="706C960A" w:rsidR="00DB4D62" w:rsidRDefault="00F9025F" w:rsidP="00F06CFD">
      <w:r>
        <w:t xml:space="preserve">Regarding the reception of </w:t>
      </w:r>
      <w:r w:rsidR="00930FBD">
        <w:t>mIAB-MT</w:t>
      </w:r>
      <w:r w:rsidR="007B7CD4">
        <w:t>,</w:t>
      </w:r>
      <w:r w:rsidR="00F05171">
        <w:t xml:space="preserve"> as it</w:t>
      </w:r>
      <w:r w:rsidR="00141578">
        <w:t>’s mounted on a moving vehicle,</w:t>
      </w:r>
      <w:r w:rsidR="007B7CD4">
        <w:t xml:space="preserve"> </w:t>
      </w:r>
      <w:r w:rsidR="00544694">
        <w:t xml:space="preserve">it can be treated as a normal NR UE with </w:t>
      </w:r>
      <w:r w:rsidR="00D86332">
        <w:t>a regular speed</w:t>
      </w:r>
      <w:r w:rsidR="0000460E">
        <w:t xml:space="preserve"> without any additional baseband processing so that it is not expected to have any implication for performance requirements.</w:t>
      </w:r>
      <w:r w:rsidR="002B66D7">
        <w:t xml:space="preserve"> Legacy IAB-MT requirements </w:t>
      </w:r>
      <w:r w:rsidR="00CD30D2">
        <w:t>for PDSCH, PDCCH and CSI reporting</w:t>
      </w:r>
      <w:r w:rsidR="00975845">
        <w:t xml:space="preserve">, however, </w:t>
      </w:r>
      <w:r w:rsidR="00121540">
        <w:t xml:space="preserve">would not be preferred since </w:t>
      </w:r>
      <w:r w:rsidR="00C15C2D">
        <w:t xml:space="preserve">these requirements are based on the static or </w:t>
      </w:r>
      <w:r w:rsidR="00BD589A">
        <w:t xml:space="preserve">low dispersive and low mobility channel profile such as </w:t>
      </w:r>
      <w:r w:rsidR="00C15C2D">
        <w:t>TDLA</w:t>
      </w:r>
      <w:r w:rsidR="00BD589A">
        <w:t>30 with 10MHz Doppler</w:t>
      </w:r>
      <w:r w:rsidR="00C15C2D">
        <w:t xml:space="preserve">, which is not able to reflect the multi-path </w:t>
      </w:r>
      <w:r w:rsidR="002A04C9">
        <w:t xml:space="preserve">effects of a moving UE. We propose to reuse legacy </w:t>
      </w:r>
      <w:r w:rsidR="00DD1E82">
        <w:t xml:space="preserve">NR UE demodulation requirements with </w:t>
      </w:r>
      <w:r w:rsidR="00BD589A">
        <w:t xml:space="preserve">high dispersive and high mobility channel profile such as </w:t>
      </w:r>
      <w:r w:rsidR="00DD1E82">
        <w:t>TDLC</w:t>
      </w:r>
      <w:r w:rsidR="00BD589A">
        <w:t>300-100</w:t>
      </w:r>
      <w:r w:rsidR="00DD1E82">
        <w:t xml:space="preserve"> channel. </w:t>
      </w:r>
      <w:r w:rsidR="008908B3">
        <w:t xml:space="preserve">Specific test cases </w:t>
      </w:r>
      <w:r w:rsidR="00CD4CC5">
        <w:t>to select can be further discussed.</w:t>
      </w:r>
    </w:p>
    <w:p w14:paraId="62CD312C" w14:textId="6D0C9690" w:rsidR="00DB4D62" w:rsidRDefault="00DB4D62" w:rsidP="00F06CFD">
      <w:pPr>
        <w:rPr>
          <w:b/>
          <w:bCs/>
          <w:i/>
          <w:iCs/>
        </w:rPr>
      </w:pPr>
      <w:r w:rsidRPr="003261C6">
        <w:rPr>
          <w:b/>
          <w:bCs/>
          <w:i/>
          <w:iCs/>
        </w:rPr>
        <w:t>Observation</w:t>
      </w:r>
      <w:r w:rsidR="003261C6" w:rsidRPr="003261C6">
        <w:rPr>
          <w:b/>
          <w:bCs/>
          <w:i/>
          <w:iCs/>
        </w:rPr>
        <w:t xml:space="preserve"> </w:t>
      </w:r>
      <w:r w:rsidR="00525A9B">
        <w:rPr>
          <w:b/>
          <w:bCs/>
          <w:i/>
          <w:iCs/>
        </w:rPr>
        <w:t>1</w:t>
      </w:r>
      <w:r w:rsidR="003261C6" w:rsidRPr="003261C6">
        <w:rPr>
          <w:b/>
          <w:bCs/>
          <w:i/>
          <w:iCs/>
        </w:rPr>
        <w:t>:</w:t>
      </w:r>
      <w:r w:rsidR="00525A9B">
        <w:rPr>
          <w:b/>
          <w:bCs/>
          <w:i/>
          <w:iCs/>
        </w:rPr>
        <w:t xml:space="preserve"> No additional baseband processing for </w:t>
      </w:r>
      <w:r w:rsidR="0050158A">
        <w:rPr>
          <w:b/>
          <w:bCs/>
          <w:i/>
          <w:iCs/>
        </w:rPr>
        <w:t>the enhancement on the mobility of IAB-MT.</w:t>
      </w:r>
    </w:p>
    <w:p w14:paraId="6A4EE93A" w14:textId="1C411F30" w:rsidR="0050158A" w:rsidRPr="003261C6" w:rsidRDefault="00FF2D40" w:rsidP="00F06CFD">
      <w:pPr>
        <w:rPr>
          <w:b/>
          <w:bCs/>
          <w:i/>
          <w:iCs/>
        </w:rPr>
      </w:pPr>
      <w:r>
        <w:rPr>
          <w:b/>
          <w:bCs/>
          <w:i/>
          <w:iCs/>
        </w:rPr>
        <w:t>Observation 2: Legacy IAB-MT requirement</w:t>
      </w:r>
      <w:r w:rsidR="00A85383">
        <w:rPr>
          <w:b/>
          <w:bCs/>
          <w:i/>
          <w:iCs/>
        </w:rPr>
        <w:t>s</w:t>
      </w:r>
      <w:r>
        <w:rPr>
          <w:b/>
          <w:bCs/>
          <w:i/>
          <w:iCs/>
        </w:rPr>
        <w:t xml:space="preserve"> for PDSCH, PDCCH and CSI reporting </w:t>
      </w:r>
      <w:r w:rsidR="00A85383">
        <w:rPr>
          <w:b/>
          <w:bCs/>
          <w:i/>
          <w:iCs/>
        </w:rPr>
        <w:t xml:space="preserve">can not be reused because of the static </w:t>
      </w:r>
      <w:r w:rsidR="009D15CE">
        <w:rPr>
          <w:b/>
          <w:bCs/>
          <w:i/>
          <w:iCs/>
        </w:rPr>
        <w:t>or TDLA</w:t>
      </w:r>
      <w:r w:rsidR="003C3524">
        <w:rPr>
          <w:b/>
          <w:bCs/>
          <w:i/>
          <w:iCs/>
        </w:rPr>
        <w:t>30-10</w:t>
      </w:r>
      <w:r w:rsidR="009D15CE">
        <w:rPr>
          <w:b/>
          <w:bCs/>
          <w:i/>
          <w:iCs/>
        </w:rPr>
        <w:t xml:space="preserve"> channel condition.</w:t>
      </w:r>
    </w:p>
    <w:p w14:paraId="7824BE74" w14:textId="366667BF" w:rsidR="00DB4D62" w:rsidRPr="003261C6" w:rsidRDefault="00DB4D62" w:rsidP="00F06CFD">
      <w:pPr>
        <w:rPr>
          <w:b/>
          <w:bCs/>
          <w:i/>
          <w:iCs/>
        </w:rPr>
      </w:pPr>
      <w:r w:rsidRPr="003261C6">
        <w:rPr>
          <w:b/>
          <w:bCs/>
          <w:i/>
          <w:iCs/>
        </w:rPr>
        <w:t xml:space="preserve">Proposal </w:t>
      </w:r>
      <w:r w:rsidR="0028070B">
        <w:rPr>
          <w:b/>
          <w:bCs/>
          <w:i/>
          <w:iCs/>
        </w:rPr>
        <w:t>1</w:t>
      </w:r>
      <w:r w:rsidRPr="003261C6">
        <w:rPr>
          <w:b/>
          <w:bCs/>
          <w:i/>
          <w:iCs/>
        </w:rPr>
        <w:t>:</w:t>
      </w:r>
      <w:r w:rsidR="0028070B">
        <w:rPr>
          <w:b/>
          <w:bCs/>
          <w:i/>
          <w:iCs/>
        </w:rPr>
        <w:t xml:space="preserve"> Reuse legacy </w:t>
      </w:r>
      <w:r w:rsidR="00526F9D">
        <w:rPr>
          <w:b/>
          <w:bCs/>
          <w:i/>
          <w:iCs/>
        </w:rPr>
        <w:t>NR UE demodulation requirements with TDLC</w:t>
      </w:r>
      <w:r w:rsidR="003C3524">
        <w:rPr>
          <w:b/>
          <w:bCs/>
          <w:i/>
          <w:iCs/>
        </w:rPr>
        <w:t>300-100</w:t>
      </w:r>
      <w:r w:rsidR="00526F9D">
        <w:rPr>
          <w:b/>
          <w:bCs/>
          <w:i/>
          <w:iCs/>
        </w:rPr>
        <w:t xml:space="preserve"> channel condition, specific test cases can be further discussed.</w:t>
      </w:r>
      <w:r w:rsidR="0028070B">
        <w:rPr>
          <w:b/>
          <w:bCs/>
          <w:i/>
          <w:iCs/>
        </w:rPr>
        <w:t xml:space="preserve"> </w:t>
      </w:r>
    </w:p>
    <w:p w14:paraId="0F70796A" w14:textId="462AE388" w:rsidR="0097795F" w:rsidRPr="00C558C8" w:rsidRDefault="0097795F" w:rsidP="0097795F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hAnsi="Arial" w:cs="Times New Roman"/>
          <w:sz w:val="32"/>
          <w:szCs w:val="20"/>
        </w:rPr>
      </w:pPr>
      <w:r w:rsidRPr="001117BC">
        <w:rPr>
          <w:rFonts w:ascii="Arial" w:eastAsia="MS Mincho" w:hAnsi="Arial" w:cs="Times New Roman"/>
          <w:sz w:val="32"/>
          <w:szCs w:val="20"/>
          <w:lang w:val="en-GB" w:eastAsia="ja-JP"/>
        </w:rPr>
        <w:lastRenderedPageBreak/>
        <w:t xml:space="preserve">2.2 </w:t>
      </w:r>
      <w:r w:rsidR="00B23AC3">
        <w:rPr>
          <w:rFonts w:ascii="Arial" w:eastAsia="MS Mincho" w:hAnsi="Arial" w:cs="Times New Roman"/>
          <w:sz w:val="32"/>
          <w:szCs w:val="20"/>
          <w:lang w:val="en-GB" w:eastAsia="ja-JP"/>
        </w:rPr>
        <w:t>mIAB-DU</w:t>
      </w:r>
      <w:r w:rsidR="004441B4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 </w:t>
      </w:r>
    </w:p>
    <w:p w14:paraId="2AEDF9B3" w14:textId="000ACEA2" w:rsidR="009C18CF" w:rsidRPr="007E2AE8" w:rsidRDefault="00F6407C" w:rsidP="00473CAA">
      <w:r>
        <w:t xml:space="preserve">As for the reception of mIAB-DU, </w:t>
      </w:r>
      <w:r w:rsidR="007975D0">
        <w:t xml:space="preserve">Doppler shift and delay spread were considered </w:t>
      </w:r>
      <w:r w:rsidR="00A765D1">
        <w:t xml:space="preserve">in the previous release </w:t>
      </w:r>
      <w:r w:rsidR="007975D0">
        <w:t>due to it</w:t>
      </w:r>
      <w:r w:rsidR="00A765D1">
        <w:t xml:space="preserve">s service on </w:t>
      </w:r>
      <w:r w:rsidR="00904A9E">
        <w:t xml:space="preserve">moving NR UEs. With the </w:t>
      </w:r>
      <w:r w:rsidR="002A23E3">
        <w:t xml:space="preserve">additional mobility of IAB-node, the Doppler value can be </w:t>
      </w:r>
      <w:r w:rsidR="00D801A9">
        <w:t>relative</w:t>
      </w:r>
      <w:r w:rsidR="007D2097">
        <w:t xml:space="preserve">, and yet to bring no additional baseband processing </w:t>
      </w:r>
      <w:r w:rsidR="00813FE7">
        <w:t>to support mobility functionality.</w:t>
      </w:r>
      <w:r w:rsidR="009C18CF">
        <w:t xml:space="preserve"> According to the current RAN4 RF agreements, </w:t>
      </w:r>
      <w:r w:rsidR="0008160E">
        <w:t xml:space="preserve">only service to onboard UEs is considered, </w:t>
      </w:r>
      <w:r w:rsidR="00086D92">
        <w:t xml:space="preserve">which simplifies the scenario as </w:t>
      </w:r>
      <w:r w:rsidR="00231B62">
        <w:t>same as a pico cell</w:t>
      </w:r>
      <w:r w:rsidR="002023F8">
        <w:t xml:space="preserve"> so that the channel model would be LOS with </w:t>
      </w:r>
      <w:r w:rsidR="00FE7F2F">
        <w:t xml:space="preserve">minor impact from delay </w:t>
      </w:r>
      <w:r w:rsidR="00CC09AB">
        <w:t xml:space="preserve">spread and Doppler. </w:t>
      </w:r>
      <w:r w:rsidR="00397DDE">
        <w:t xml:space="preserve">Given such considerations, </w:t>
      </w:r>
      <w:r w:rsidR="00352D8D">
        <w:t xml:space="preserve">the legacy IAB-DU requirements, including PUSCH, PUCCH and PRACH, </w:t>
      </w:r>
      <w:r w:rsidR="000E209A">
        <w:t>can be reused with TDLA channel con</w:t>
      </w:r>
      <w:r w:rsidR="00085ECD">
        <w:t>dition.</w:t>
      </w:r>
    </w:p>
    <w:p w14:paraId="574670E1" w14:textId="48D6FA89" w:rsidR="00E16852" w:rsidRPr="00473CAA" w:rsidRDefault="00E16852" w:rsidP="00473CAA">
      <w:pPr>
        <w:rPr>
          <w:b/>
          <w:bCs/>
          <w:i/>
          <w:iCs/>
        </w:rPr>
      </w:pPr>
      <w:r w:rsidRPr="00473CAA">
        <w:rPr>
          <w:b/>
          <w:bCs/>
          <w:i/>
          <w:iCs/>
        </w:rPr>
        <w:t xml:space="preserve">Observation </w:t>
      </w:r>
      <w:r w:rsidR="003F4CFA">
        <w:rPr>
          <w:b/>
          <w:bCs/>
          <w:i/>
          <w:iCs/>
        </w:rPr>
        <w:t>3</w:t>
      </w:r>
      <w:r w:rsidR="00473CAA" w:rsidRPr="00473CAA">
        <w:rPr>
          <w:b/>
          <w:bCs/>
          <w:i/>
          <w:iCs/>
        </w:rPr>
        <w:t xml:space="preserve">: </w:t>
      </w:r>
      <w:r w:rsidR="003F4CFA">
        <w:rPr>
          <w:b/>
          <w:bCs/>
          <w:i/>
          <w:iCs/>
        </w:rPr>
        <w:t>No additional baseband processing for the enhancement on the mobility of IAB-DU</w:t>
      </w:r>
    </w:p>
    <w:p w14:paraId="135E3F36" w14:textId="1D1B25E5" w:rsidR="00DB4D62" w:rsidRPr="00473CAA" w:rsidRDefault="00DB4D62" w:rsidP="00473CAA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Proposal </w:t>
      </w:r>
      <w:r w:rsidR="003F4CFA">
        <w:rPr>
          <w:b/>
          <w:bCs/>
          <w:i/>
          <w:iCs/>
        </w:rPr>
        <w:t xml:space="preserve">2: Reuse legacy IAB-DU requirements with </w:t>
      </w:r>
      <w:r w:rsidR="00D3701E">
        <w:rPr>
          <w:b/>
          <w:bCs/>
          <w:i/>
          <w:iCs/>
        </w:rPr>
        <w:t>TDLA</w:t>
      </w:r>
      <w:r w:rsidR="0042594A">
        <w:rPr>
          <w:b/>
          <w:bCs/>
          <w:i/>
          <w:iCs/>
        </w:rPr>
        <w:t>30</w:t>
      </w:r>
      <w:r w:rsidR="00283A09">
        <w:rPr>
          <w:b/>
          <w:bCs/>
          <w:i/>
          <w:iCs/>
        </w:rPr>
        <w:t>-10</w:t>
      </w:r>
      <w:r w:rsidR="00D3701E">
        <w:rPr>
          <w:b/>
          <w:bCs/>
          <w:i/>
          <w:iCs/>
        </w:rPr>
        <w:t xml:space="preserve"> channel condition, specific test cases can be further discussed.</w:t>
      </w:r>
    </w:p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 w:rsidRPr="0092180D">
        <w:rPr>
          <w:lang w:val="en-US"/>
        </w:rPr>
        <w:tab/>
        <w:t>Summary</w:t>
      </w:r>
    </w:p>
    <w:p w14:paraId="6C7FEC7F" w14:textId="19A98512" w:rsidR="007B3841" w:rsidRDefault="00070AA9" w:rsidP="007B3841">
      <w:r>
        <w:t xml:space="preserve">In this contribution, </w:t>
      </w:r>
      <w:r w:rsidR="003A132B">
        <w:t xml:space="preserve">we </w:t>
      </w:r>
      <w:r w:rsidR="00473CAA">
        <w:t xml:space="preserve">shared </w:t>
      </w:r>
      <w:r w:rsidR="003261C6">
        <w:t>our views o</w:t>
      </w:r>
      <w:r w:rsidR="00DC293E">
        <w:t xml:space="preserve">n the demodulation impact of </w:t>
      </w:r>
      <w:r w:rsidR="00DC2DAD">
        <w:t>mobility enhancement for IAB in Rel-18.</w:t>
      </w:r>
    </w:p>
    <w:p w14:paraId="3F203111" w14:textId="73B6DA00" w:rsidR="00C700D9" w:rsidRDefault="000A3985" w:rsidP="007B3841">
      <w:r>
        <w:t xml:space="preserve">We summarized our </w:t>
      </w:r>
      <w:r w:rsidR="00473CAA">
        <w:t>observations</w:t>
      </w:r>
      <w:r w:rsidR="00C700D9">
        <w:t xml:space="preserve"> </w:t>
      </w:r>
      <w:r w:rsidR="003261C6">
        <w:t xml:space="preserve">and proposals </w:t>
      </w:r>
      <w:r w:rsidR="00C700D9">
        <w:t>as follows:</w:t>
      </w:r>
    </w:p>
    <w:p w14:paraId="4FEF58B1" w14:textId="77777777" w:rsidR="00283A09" w:rsidRDefault="00283A09" w:rsidP="00283A09">
      <w:pPr>
        <w:rPr>
          <w:b/>
          <w:bCs/>
          <w:i/>
          <w:iCs/>
        </w:rPr>
      </w:pPr>
      <w:r w:rsidRPr="003261C6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1</w:t>
      </w:r>
      <w:r w:rsidRPr="003261C6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No additional baseband processing for the enhancement on the mobility of IAB-MT.</w:t>
      </w:r>
    </w:p>
    <w:p w14:paraId="2C2A6BC6" w14:textId="77777777" w:rsidR="00283A09" w:rsidRPr="003261C6" w:rsidRDefault="00283A09" w:rsidP="00283A09">
      <w:pPr>
        <w:rPr>
          <w:b/>
          <w:bCs/>
          <w:i/>
          <w:iCs/>
        </w:rPr>
      </w:pPr>
      <w:r>
        <w:rPr>
          <w:b/>
          <w:bCs/>
          <w:i/>
          <w:iCs/>
        </w:rPr>
        <w:t>Observation 2: Legacy IAB-MT requirements for PDSCH, PDCCH and CSI reporting can not be reused because of the static or TDLA30-10 channel condition.</w:t>
      </w:r>
    </w:p>
    <w:p w14:paraId="72754CDD" w14:textId="77777777" w:rsidR="00283A09" w:rsidRPr="003261C6" w:rsidRDefault="00283A09" w:rsidP="00283A09">
      <w:pPr>
        <w:rPr>
          <w:b/>
          <w:bCs/>
          <w:i/>
          <w:iCs/>
        </w:rPr>
      </w:pPr>
      <w:r w:rsidRPr="003261C6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1</w:t>
      </w:r>
      <w:r w:rsidRPr="003261C6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Reuse legacy NR UE demodulation requirements with TDLC300-100 channel condition, specific test cases can be further discussed. </w:t>
      </w:r>
    </w:p>
    <w:p w14:paraId="1912B47F" w14:textId="77777777" w:rsidR="00283A09" w:rsidRPr="00473CAA" w:rsidRDefault="00283A09" w:rsidP="00283A09">
      <w:pPr>
        <w:rPr>
          <w:b/>
          <w:bCs/>
          <w:i/>
          <w:iCs/>
        </w:rPr>
      </w:pPr>
      <w:r w:rsidRPr="00473CAA">
        <w:rPr>
          <w:b/>
          <w:bCs/>
          <w:i/>
          <w:iCs/>
        </w:rPr>
        <w:t xml:space="preserve">Observation </w:t>
      </w:r>
      <w:r>
        <w:rPr>
          <w:b/>
          <w:bCs/>
          <w:i/>
          <w:iCs/>
        </w:rPr>
        <w:t>3</w:t>
      </w:r>
      <w:r w:rsidRPr="00473CAA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No additional baseband processing for the enhancement on the mobility of IAB-DU</w:t>
      </w:r>
    </w:p>
    <w:p w14:paraId="7DA32980" w14:textId="77777777" w:rsidR="00283A09" w:rsidRPr="00473CAA" w:rsidRDefault="00283A09" w:rsidP="00283A09">
      <w:pPr>
        <w:rPr>
          <w:b/>
          <w:bCs/>
          <w:i/>
          <w:iCs/>
        </w:rPr>
      </w:pPr>
      <w:r>
        <w:rPr>
          <w:b/>
          <w:bCs/>
          <w:i/>
          <w:iCs/>
        </w:rPr>
        <w:t>Proposal 2: Reuse legacy IAB-DU requirements with TDLA30-10 channel condition, specific test cases can be further discussed.</w:t>
      </w:r>
    </w:p>
    <w:p w14:paraId="512FA904" w14:textId="3DA6D76F" w:rsidR="003D223E" w:rsidRPr="008F6181" w:rsidRDefault="007B3841" w:rsidP="008F6181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178568B0" w14:textId="66CB4120" w:rsidR="00227DD4" w:rsidRDefault="00227DD4" w:rsidP="00227DD4">
      <w:pPr>
        <w:ind w:left="720" w:hanging="720"/>
        <w:rPr>
          <w:rFonts w:cstheme="minorHAnsi"/>
        </w:rPr>
      </w:pPr>
      <w:r w:rsidRPr="00A12448">
        <w:rPr>
          <w:rFonts w:cstheme="minorHAnsi"/>
        </w:rPr>
        <w:t>[1]</w:t>
      </w:r>
      <w:r w:rsidRPr="00A12448">
        <w:rPr>
          <w:rFonts w:cstheme="minorHAnsi"/>
        </w:rPr>
        <w:tab/>
      </w:r>
      <w:r w:rsidR="00F44379">
        <w:rPr>
          <w:rFonts w:cstheme="minorHAnsi"/>
        </w:rPr>
        <w:t>R</w:t>
      </w:r>
      <w:r w:rsidR="00021F97">
        <w:rPr>
          <w:rFonts w:cstheme="minorHAnsi"/>
        </w:rPr>
        <w:t>P-222671: New WID on Mobile IAB, Qualcomm</w:t>
      </w:r>
      <w:r w:rsidR="0051044D">
        <w:rPr>
          <w:rFonts w:cstheme="minorHAnsi"/>
        </w:rPr>
        <w:t>, RAN #</w:t>
      </w:r>
      <w:proofErr w:type="gramStart"/>
      <w:r w:rsidR="0051044D">
        <w:rPr>
          <w:rFonts w:cstheme="minorHAnsi"/>
        </w:rPr>
        <w:t>97e</w:t>
      </w:r>
      <w:proofErr w:type="gramEnd"/>
    </w:p>
    <w:p w14:paraId="2D9767A0" w14:textId="27E98F13" w:rsidR="007A5A6F" w:rsidRPr="007A5A6F" w:rsidRDefault="007A5A6F" w:rsidP="004D7D83"/>
    <w:p w14:paraId="03446468" w14:textId="77777777" w:rsidR="00403218" w:rsidRDefault="00403218" w:rsidP="00885C88">
      <w:pPr>
        <w:ind w:left="720" w:hanging="720"/>
        <w:rPr>
          <w:rFonts w:cstheme="minorHAnsi"/>
          <w:color w:val="000000"/>
        </w:rPr>
      </w:pPr>
    </w:p>
    <w:p w14:paraId="1142B297" w14:textId="46C9F531" w:rsidR="00C066BC" w:rsidRDefault="00C066BC" w:rsidP="00885C88">
      <w:pPr>
        <w:ind w:left="720" w:hanging="720"/>
        <w:rPr>
          <w:rFonts w:cstheme="minorHAnsi"/>
          <w:color w:val="000000"/>
        </w:rPr>
      </w:pPr>
    </w:p>
    <w:sectPr w:rsidR="00C066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899" type="#_x0000_t75" style="width:113.45pt;height:74.9pt" o:bullet="t">
        <v:imagedata r:id="rId1" o:title=""/>
      </v:shape>
    </w:pict>
  </w:numPicBullet>
  <w:abstractNum w:abstractNumId="0" w15:restartNumberingAfterBreak="0">
    <w:nsid w:val="0CB23F29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57762"/>
    <w:multiLevelType w:val="hybridMultilevel"/>
    <w:tmpl w:val="6ECC1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0F0982"/>
    <w:multiLevelType w:val="hybridMultilevel"/>
    <w:tmpl w:val="DBEC6C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32BA7"/>
    <w:multiLevelType w:val="hybridMultilevel"/>
    <w:tmpl w:val="D9F05A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87615A"/>
    <w:multiLevelType w:val="hybridMultilevel"/>
    <w:tmpl w:val="1D161F98"/>
    <w:lvl w:ilvl="0" w:tplc="4FA876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186C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5294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01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8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47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0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EF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6F1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38C75757"/>
    <w:multiLevelType w:val="multilevel"/>
    <w:tmpl w:val="DC568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D1E71B4"/>
    <w:multiLevelType w:val="hybridMultilevel"/>
    <w:tmpl w:val="AB42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00A106E"/>
    <w:multiLevelType w:val="hybridMultilevel"/>
    <w:tmpl w:val="FB80F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6701D5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09930FB"/>
    <w:multiLevelType w:val="multilevel"/>
    <w:tmpl w:val="DC568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60795687"/>
    <w:multiLevelType w:val="hybridMultilevel"/>
    <w:tmpl w:val="1BE47E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0C0F21"/>
    <w:multiLevelType w:val="hybridMultilevel"/>
    <w:tmpl w:val="24845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22530B"/>
    <w:multiLevelType w:val="hybridMultilevel"/>
    <w:tmpl w:val="D6C02AFA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F031BD"/>
    <w:multiLevelType w:val="hybridMultilevel"/>
    <w:tmpl w:val="C942993E"/>
    <w:lvl w:ilvl="0" w:tplc="725EF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CD4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3221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E8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EE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49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2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26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C7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D45689"/>
    <w:multiLevelType w:val="hybridMultilevel"/>
    <w:tmpl w:val="6720A0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B972C2"/>
    <w:multiLevelType w:val="hybridMultilevel"/>
    <w:tmpl w:val="4DFC2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553424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E35BC7"/>
    <w:multiLevelType w:val="hybridMultilevel"/>
    <w:tmpl w:val="3D08D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245491"/>
    <w:multiLevelType w:val="hybridMultilevel"/>
    <w:tmpl w:val="E69EF9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40918299">
    <w:abstractNumId w:val="14"/>
  </w:num>
  <w:num w:numId="2" w16cid:durableId="834146327">
    <w:abstractNumId w:val="24"/>
  </w:num>
  <w:num w:numId="3" w16cid:durableId="1865484434">
    <w:abstractNumId w:val="15"/>
  </w:num>
  <w:num w:numId="4" w16cid:durableId="2146312762">
    <w:abstractNumId w:val="10"/>
  </w:num>
  <w:num w:numId="5" w16cid:durableId="2031641396">
    <w:abstractNumId w:val="27"/>
  </w:num>
  <w:num w:numId="6" w16cid:durableId="128134510">
    <w:abstractNumId w:val="17"/>
  </w:num>
  <w:num w:numId="7" w16cid:durableId="1475292992">
    <w:abstractNumId w:val="23"/>
  </w:num>
  <w:num w:numId="8" w16cid:durableId="16913741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78173759">
    <w:abstractNumId w:val="29"/>
  </w:num>
  <w:num w:numId="10" w16cid:durableId="916288764">
    <w:abstractNumId w:val="7"/>
  </w:num>
  <w:num w:numId="11" w16cid:durableId="258176719">
    <w:abstractNumId w:val="1"/>
  </w:num>
  <w:num w:numId="12" w16cid:durableId="98566647">
    <w:abstractNumId w:val="19"/>
  </w:num>
  <w:num w:numId="13" w16cid:durableId="2082019418">
    <w:abstractNumId w:val="6"/>
  </w:num>
  <w:num w:numId="14" w16cid:durableId="306520468">
    <w:abstractNumId w:val="16"/>
  </w:num>
  <w:num w:numId="15" w16cid:durableId="1268925006">
    <w:abstractNumId w:val="28"/>
  </w:num>
  <w:num w:numId="16" w16cid:durableId="1168668697">
    <w:abstractNumId w:val="5"/>
  </w:num>
  <w:num w:numId="17" w16cid:durableId="961351018">
    <w:abstractNumId w:val="4"/>
  </w:num>
  <w:num w:numId="18" w16cid:durableId="185337937">
    <w:abstractNumId w:val="9"/>
  </w:num>
  <w:num w:numId="19" w16cid:durableId="1131824175">
    <w:abstractNumId w:val="21"/>
  </w:num>
  <w:num w:numId="20" w16cid:durableId="18360008">
    <w:abstractNumId w:val="2"/>
  </w:num>
  <w:num w:numId="21" w16cid:durableId="2101439842">
    <w:abstractNumId w:val="25"/>
  </w:num>
  <w:num w:numId="22" w16cid:durableId="661855488">
    <w:abstractNumId w:val="13"/>
  </w:num>
  <w:num w:numId="23" w16cid:durableId="1327709620">
    <w:abstractNumId w:val="22"/>
  </w:num>
  <w:num w:numId="24" w16cid:durableId="1952780682">
    <w:abstractNumId w:val="12"/>
  </w:num>
  <w:num w:numId="25" w16cid:durableId="260258796">
    <w:abstractNumId w:val="0"/>
  </w:num>
  <w:num w:numId="26" w16cid:durableId="608046860">
    <w:abstractNumId w:val="26"/>
  </w:num>
  <w:num w:numId="27" w16cid:durableId="245767664">
    <w:abstractNumId w:val="11"/>
  </w:num>
  <w:num w:numId="28" w16cid:durableId="363672412">
    <w:abstractNumId w:val="3"/>
  </w:num>
  <w:num w:numId="29" w16cid:durableId="1045255646">
    <w:abstractNumId w:val="8"/>
  </w:num>
  <w:num w:numId="30" w16cid:durableId="398282749">
    <w:abstractNumId w:val="20"/>
  </w:num>
  <w:num w:numId="31" w16cid:durableId="135221776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3086"/>
    <w:rsid w:val="000040F8"/>
    <w:rsid w:val="0000460E"/>
    <w:rsid w:val="00004CBA"/>
    <w:rsid w:val="0000695F"/>
    <w:rsid w:val="00012610"/>
    <w:rsid w:val="00014BC4"/>
    <w:rsid w:val="00020CDA"/>
    <w:rsid w:val="00021F36"/>
    <w:rsid w:val="00021F97"/>
    <w:rsid w:val="00024B1E"/>
    <w:rsid w:val="000406C3"/>
    <w:rsid w:val="000411C2"/>
    <w:rsid w:val="000471B0"/>
    <w:rsid w:val="00047408"/>
    <w:rsid w:val="00047869"/>
    <w:rsid w:val="000479F6"/>
    <w:rsid w:val="00050AB2"/>
    <w:rsid w:val="00051EC6"/>
    <w:rsid w:val="00052328"/>
    <w:rsid w:val="0005262C"/>
    <w:rsid w:val="0005595D"/>
    <w:rsid w:val="000600FA"/>
    <w:rsid w:val="0006122D"/>
    <w:rsid w:val="00061E57"/>
    <w:rsid w:val="00064648"/>
    <w:rsid w:val="00064AA8"/>
    <w:rsid w:val="00064DE9"/>
    <w:rsid w:val="00065462"/>
    <w:rsid w:val="00065ED1"/>
    <w:rsid w:val="00067341"/>
    <w:rsid w:val="00067816"/>
    <w:rsid w:val="00070AA9"/>
    <w:rsid w:val="000714DA"/>
    <w:rsid w:val="000739B1"/>
    <w:rsid w:val="00074F50"/>
    <w:rsid w:val="00075E65"/>
    <w:rsid w:val="00081111"/>
    <w:rsid w:val="0008160E"/>
    <w:rsid w:val="00085ECD"/>
    <w:rsid w:val="00086AEC"/>
    <w:rsid w:val="00086D92"/>
    <w:rsid w:val="000871CB"/>
    <w:rsid w:val="00087A37"/>
    <w:rsid w:val="000912F5"/>
    <w:rsid w:val="00092A79"/>
    <w:rsid w:val="000A084A"/>
    <w:rsid w:val="000A1A7D"/>
    <w:rsid w:val="000A3985"/>
    <w:rsid w:val="000B04BF"/>
    <w:rsid w:val="000B073D"/>
    <w:rsid w:val="000B3776"/>
    <w:rsid w:val="000B55D4"/>
    <w:rsid w:val="000C2794"/>
    <w:rsid w:val="000D026C"/>
    <w:rsid w:val="000D0729"/>
    <w:rsid w:val="000D25FD"/>
    <w:rsid w:val="000D3687"/>
    <w:rsid w:val="000D3A65"/>
    <w:rsid w:val="000D4217"/>
    <w:rsid w:val="000D42BB"/>
    <w:rsid w:val="000D4808"/>
    <w:rsid w:val="000D4F04"/>
    <w:rsid w:val="000D7841"/>
    <w:rsid w:val="000E209A"/>
    <w:rsid w:val="000E3136"/>
    <w:rsid w:val="000F11D1"/>
    <w:rsid w:val="000F4298"/>
    <w:rsid w:val="000F62F2"/>
    <w:rsid w:val="001029E3"/>
    <w:rsid w:val="001046DC"/>
    <w:rsid w:val="00104F61"/>
    <w:rsid w:val="001066FC"/>
    <w:rsid w:val="00106F9D"/>
    <w:rsid w:val="00117C1D"/>
    <w:rsid w:val="00117D82"/>
    <w:rsid w:val="00121540"/>
    <w:rsid w:val="00124B84"/>
    <w:rsid w:val="001271EF"/>
    <w:rsid w:val="00131A54"/>
    <w:rsid w:val="0013537E"/>
    <w:rsid w:val="00135617"/>
    <w:rsid w:val="00135E98"/>
    <w:rsid w:val="00137D02"/>
    <w:rsid w:val="0014027D"/>
    <w:rsid w:val="00141578"/>
    <w:rsid w:val="001420AA"/>
    <w:rsid w:val="001459D1"/>
    <w:rsid w:val="001474FE"/>
    <w:rsid w:val="001479F8"/>
    <w:rsid w:val="00150633"/>
    <w:rsid w:val="0015202F"/>
    <w:rsid w:val="00153884"/>
    <w:rsid w:val="00156319"/>
    <w:rsid w:val="00163EE4"/>
    <w:rsid w:val="0016435E"/>
    <w:rsid w:val="0016446F"/>
    <w:rsid w:val="00164997"/>
    <w:rsid w:val="00164EA6"/>
    <w:rsid w:val="001669F0"/>
    <w:rsid w:val="00171207"/>
    <w:rsid w:val="0017143E"/>
    <w:rsid w:val="00172B95"/>
    <w:rsid w:val="00175E8C"/>
    <w:rsid w:val="001762BF"/>
    <w:rsid w:val="00177455"/>
    <w:rsid w:val="001776EF"/>
    <w:rsid w:val="00180B0F"/>
    <w:rsid w:val="0018472B"/>
    <w:rsid w:val="0018526A"/>
    <w:rsid w:val="0018600A"/>
    <w:rsid w:val="001940D0"/>
    <w:rsid w:val="001A0B7E"/>
    <w:rsid w:val="001A3D19"/>
    <w:rsid w:val="001A4E3E"/>
    <w:rsid w:val="001A5A7F"/>
    <w:rsid w:val="001A6983"/>
    <w:rsid w:val="001B2E87"/>
    <w:rsid w:val="001B5051"/>
    <w:rsid w:val="001B6C4A"/>
    <w:rsid w:val="001C5B73"/>
    <w:rsid w:val="001D0936"/>
    <w:rsid w:val="001D0E62"/>
    <w:rsid w:val="001D3DC9"/>
    <w:rsid w:val="001D5EA9"/>
    <w:rsid w:val="001E10B1"/>
    <w:rsid w:val="001E6CEA"/>
    <w:rsid w:val="001E7DE0"/>
    <w:rsid w:val="001F736B"/>
    <w:rsid w:val="001F742E"/>
    <w:rsid w:val="002023F8"/>
    <w:rsid w:val="0020253B"/>
    <w:rsid w:val="002028AE"/>
    <w:rsid w:val="002032A6"/>
    <w:rsid w:val="00203FF1"/>
    <w:rsid w:val="00204A86"/>
    <w:rsid w:val="00206999"/>
    <w:rsid w:val="002124B7"/>
    <w:rsid w:val="00215009"/>
    <w:rsid w:val="0021583B"/>
    <w:rsid w:val="00216D44"/>
    <w:rsid w:val="002215BD"/>
    <w:rsid w:val="00221F9D"/>
    <w:rsid w:val="00226461"/>
    <w:rsid w:val="00227DD4"/>
    <w:rsid w:val="002300F6"/>
    <w:rsid w:val="00231935"/>
    <w:rsid w:val="00231B62"/>
    <w:rsid w:val="00233825"/>
    <w:rsid w:val="00233986"/>
    <w:rsid w:val="00234F11"/>
    <w:rsid w:val="0023616F"/>
    <w:rsid w:val="00241077"/>
    <w:rsid w:val="00242D0B"/>
    <w:rsid w:val="00242E0D"/>
    <w:rsid w:val="002430F7"/>
    <w:rsid w:val="0024351D"/>
    <w:rsid w:val="00243E05"/>
    <w:rsid w:val="002457A2"/>
    <w:rsid w:val="00245979"/>
    <w:rsid w:val="002503B4"/>
    <w:rsid w:val="002506D8"/>
    <w:rsid w:val="00252759"/>
    <w:rsid w:val="00252B8A"/>
    <w:rsid w:val="0025573E"/>
    <w:rsid w:val="0025654B"/>
    <w:rsid w:val="002573A8"/>
    <w:rsid w:val="002603DD"/>
    <w:rsid w:val="00260862"/>
    <w:rsid w:val="00261714"/>
    <w:rsid w:val="002624B8"/>
    <w:rsid w:val="00264537"/>
    <w:rsid w:val="00265DDA"/>
    <w:rsid w:val="00270D4C"/>
    <w:rsid w:val="002726E9"/>
    <w:rsid w:val="00272919"/>
    <w:rsid w:val="00273A0D"/>
    <w:rsid w:val="002752E2"/>
    <w:rsid w:val="0028070B"/>
    <w:rsid w:val="00281B0B"/>
    <w:rsid w:val="00283A09"/>
    <w:rsid w:val="00283C5A"/>
    <w:rsid w:val="00285DF9"/>
    <w:rsid w:val="002925A1"/>
    <w:rsid w:val="002A04C9"/>
    <w:rsid w:val="002A06C1"/>
    <w:rsid w:val="002A23E3"/>
    <w:rsid w:val="002A3635"/>
    <w:rsid w:val="002B5DAE"/>
    <w:rsid w:val="002B66D7"/>
    <w:rsid w:val="002C0896"/>
    <w:rsid w:val="002C5FEF"/>
    <w:rsid w:val="002C63F4"/>
    <w:rsid w:val="002C7E13"/>
    <w:rsid w:val="002D5316"/>
    <w:rsid w:val="002D5674"/>
    <w:rsid w:val="002E0CF7"/>
    <w:rsid w:val="002E288F"/>
    <w:rsid w:val="002E2F5E"/>
    <w:rsid w:val="002E53F2"/>
    <w:rsid w:val="002E58BE"/>
    <w:rsid w:val="002E6AE6"/>
    <w:rsid w:val="002F1584"/>
    <w:rsid w:val="002F2CBC"/>
    <w:rsid w:val="002F3256"/>
    <w:rsid w:val="0030227E"/>
    <w:rsid w:val="00306F87"/>
    <w:rsid w:val="0031084B"/>
    <w:rsid w:val="003130B1"/>
    <w:rsid w:val="00313A19"/>
    <w:rsid w:val="00313A8D"/>
    <w:rsid w:val="0031414B"/>
    <w:rsid w:val="003143A2"/>
    <w:rsid w:val="00317174"/>
    <w:rsid w:val="00317B22"/>
    <w:rsid w:val="00321109"/>
    <w:rsid w:val="00321476"/>
    <w:rsid w:val="003261C6"/>
    <w:rsid w:val="00326D45"/>
    <w:rsid w:val="00330E54"/>
    <w:rsid w:val="00331A06"/>
    <w:rsid w:val="003326DE"/>
    <w:rsid w:val="00333D0C"/>
    <w:rsid w:val="00335C23"/>
    <w:rsid w:val="00336D57"/>
    <w:rsid w:val="00337846"/>
    <w:rsid w:val="00343E91"/>
    <w:rsid w:val="00345393"/>
    <w:rsid w:val="00346B29"/>
    <w:rsid w:val="00350A43"/>
    <w:rsid w:val="00352D8D"/>
    <w:rsid w:val="0035322A"/>
    <w:rsid w:val="0035332A"/>
    <w:rsid w:val="003558D4"/>
    <w:rsid w:val="003613C6"/>
    <w:rsid w:val="00365FB7"/>
    <w:rsid w:val="00375618"/>
    <w:rsid w:val="003764DD"/>
    <w:rsid w:val="003833D3"/>
    <w:rsid w:val="00385585"/>
    <w:rsid w:val="00386052"/>
    <w:rsid w:val="00387FC5"/>
    <w:rsid w:val="00397DDE"/>
    <w:rsid w:val="003A0318"/>
    <w:rsid w:val="003A132B"/>
    <w:rsid w:val="003A147B"/>
    <w:rsid w:val="003A52D2"/>
    <w:rsid w:val="003A75F1"/>
    <w:rsid w:val="003A7A93"/>
    <w:rsid w:val="003B4B08"/>
    <w:rsid w:val="003B6044"/>
    <w:rsid w:val="003C1C1A"/>
    <w:rsid w:val="003C2EEA"/>
    <w:rsid w:val="003C3524"/>
    <w:rsid w:val="003C36BA"/>
    <w:rsid w:val="003D1FD6"/>
    <w:rsid w:val="003D3CEE"/>
    <w:rsid w:val="003D5AA6"/>
    <w:rsid w:val="003E2C6B"/>
    <w:rsid w:val="003E5B6C"/>
    <w:rsid w:val="003E6EF2"/>
    <w:rsid w:val="003E7162"/>
    <w:rsid w:val="003F282C"/>
    <w:rsid w:val="003F40E0"/>
    <w:rsid w:val="003F4CFA"/>
    <w:rsid w:val="00400053"/>
    <w:rsid w:val="00402DF5"/>
    <w:rsid w:val="00403218"/>
    <w:rsid w:val="00403A1D"/>
    <w:rsid w:val="0040439D"/>
    <w:rsid w:val="00405072"/>
    <w:rsid w:val="004058F1"/>
    <w:rsid w:val="00405A28"/>
    <w:rsid w:val="0040728D"/>
    <w:rsid w:val="004121C5"/>
    <w:rsid w:val="00412DEA"/>
    <w:rsid w:val="00412E12"/>
    <w:rsid w:val="00413539"/>
    <w:rsid w:val="00416D71"/>
    <w:rsid w:val="004206AC"/>
    <w:rsid w:val="00421AAC"/>
    <w:rsid w:val="00422936"/>
    <w:rsid w:val="00424A1F"/>
    <w:rsid w:val="0042594A"/>
    <w:rsid w:val="00425E6D"/>
    <w:rsid w:val="0042649C"/>
    <w:rsid w:val="00426EE0"/>
    <w:rsid w:val="0044091A"/>
    <w:rsid w:val="004411CA"/>
    <w:rsid w:val="004414E6"/>
    <w:rsid w:val="00441A5F"/>
    <w:rsid w:val="00441EC1"/>
    <w:rsid w:val="00442567"/>
    <w:rsid w:val="004437A8"/>
    <w:rsid w:val="004437AE"/>
    <w:rsid w:val="004441B4"/>
    <w:rsid w:val="00445654"/>
    <w:rsid w:val="0044645D"/>
    <w:rsid w:val="004512CA"/>
    <w:rsid w:val="00456FF9"/>
    <w:rsid w:val="00457C5E"/>
    <w:rsid w:val="00462C24"/>
    <w:rsid w:val="004651EB"/>
    <w:rsid w:val="0046654C"/>
    <w:rsid w:val="00467056"/>
    <w:rsid w:val="0046705B"/>
    <w:rsid w:val="00467FB1"/>
    <w:rsid w:val="00470CBF"/>
    <w:rsid w:val="00473CAA"/>
    <w:rsid w:val="00473F84"/>
    <w:rsid w:val="00474F05"/>
    <w:rsid w:val="00476895"/>
    <w:rsid w:val="00477BFB"/>
    <w:rsid w:val="00481CA0"/>
    <w:rsid w:val="00484421"/>
    <w:rsid w:val="00487FD9"/>
    <w:rsid w:val="00490E98"/>
    <w:rsid w:val="00491BB4"/>
    <w:rsid w:val="004946F4"/>
    <w:rsid w:val="00496836"/>
    <w:rsid w:val="004A1749"/>
    <w:rsid w:val="004A3955"/>
    <w:rsid w:val="004B78E4"/>
    <w:rsid w:val="004C2110"/>
    <w:rsid w:val="004C565A"/>
    <w:rsid w:val="004C63A6"/>
    <w:rsid w:val="004C7D8A"/>
    <w:rsid w:val="004D02D2"/>
    <w:rsid w:val="004D0391"/>
    <w:rsid w:val="004D2BC9"/>
    <w:rsid w:val="004D3BF6"/>
    <w:rsid w:val="004D41C0"/>
    <w:rsid w:val="004D7D83"/>
    <w:rsid w:val="004E1639"/>
    <w:rsid w:val="004E36A3"/>
    <w:rsid w:val="004E5B76"/>
    <w:rsid w:val="004E713C"/>
    <w:rsid w:val="004F1AFA"/>
    <w:rsid w:val="004F556D"/>
    <w:rsid w:val="004F60F9"/>
    <w:rsid w:val="004F7570"/>
    <w:rsid w:val="004F774A"/>
    <w:rsid w:val="0050049C"/>
    <w:rsid w:val="0050158A"/>
    <w:rsid w:val="00501CAF"/>
    <w:rsid w:val="0050238A"/>
    <w:rsid w:val="00503B82"/>
    <w:rsid w:val="005068CA"/>
    <w:rsid w:val="0051044D"/>
    <w:rsid w:val="0051079A"/>
    <w:rsid w:val="0051277D"/>
    <w:rsid w:val="00513324"/>
    <w:rsid w:val="005137A4"/>
    <w:rsid w:val="00515100"/>
    <w:rsid w:val="00517832"/>
    <w:rsid w:val="00520CD0"/>
    <w:rsid w:val="00524C62"/>
    <w:rsid w:val="00525A9B"/>
    <w:rsid w:val="00526F9D"/>
    <w:rsid w:val="00527C23"/>
    <w:rsid w:val="005343DF"/>
    <w:rsid w:val="00536959"/>
    <w:rsid w:val="0054030B"/>
    <w:rsid w:val="00541731"/>
    <w:rsid w:val="00544694"/>
    <w:rsid w:val="00553F6D"/>
    <w:rsid w:val="0055783A"/>
    <w:rsid w:val="00563E38"/>
    <w:rsid w:val="00567E40"/>
    <w:rsid w:val="005701D4"/>
    <w:rsid w:val="0057043E"/>
    <w:rsid w:val="00573E97"/>
    <w:rsid w:val="005741EA"/>
    <w:rsid w:val="0057532B"/>
    <w:rsid w:val="005767DC"/>
    <w:rsid w:val="005778C4"/>
    <w:rsid w:val="00581F71"/>
    <w:rsid w:val="005929ED"/>
    <w:rsid w:val="00593B09"/>
    <w:rsid w:val="00596637"/>
    <w:rsid w:val="00596F87"/>
    <w:rsid w:val="005A7C38"/>
    <w:rsid w:val="005B0A08"/>
    <w:rsid w:val="005B32C4"/>
    <w:rsid w:val="005B4BA6"/>
    <w:rsid w:val="005C3628"/>
    <w:rsid w:val="005D2A23"/>
    <w:rsid w:val="005D2E86"/>
    <w:rsid w:val="005D3BAF"/>
    <w:rsid w:val="005D411A"/>
    <w:rsid w:val="005D4563"/>
    <w:rsid w:val="005D4AF5"/>
    <w:rsid w:val="005D7587"/>
    <w:rsid w:val="005E016F"/>
    <w:rsid w:val="005E174E"/>
    <w:rsid w:val="005E26DF"/>
    <w:rsid w:val="005E5A34"/>
    <w:rsid w:val="005E6D28"/>
    <w:rsid w:val="005E7BA6"/>
    <w:rsid w:val="005F1D67"/>
    <w:rsid w:val="005F6010"/>
    <w:rsid w:val="0060343E"/>
    <w:rsid w:val="0060360A"/>
    <w:rsid w:val="006050FF"/>
    <w:rsid w:val="00605EDF"/>
    <w:rsid w:val="00606FB5"/>
    <w:rsid w:val="00612B79"/>
    <w:rsid w:val="00614EA2"/>
    <w:rsid w:val="006174B4"/>
    <w:rsid w:val="00617568"/>
    <w:rsid w:val="00617639"/>
    <w:rsid w:val="00622218"/>
    <w:rsid w:val="006237BD"/>
    <w:rsid w:val="006259D0"/>
    <w:rsid w:val="00626DB3"/>
    <w:rsid w:val="006276CE"/>
    <w:rsid w:val="00630C0B"/>
    <w:rsid w:val="006352A8"/>
    <w:rsid w:val="00642EC2"/>
    <w:rsid w:val="0064388A"/>
    <w:rsid w:val="00644315"/>
    <w:rsid w:val="00645487"/>
    <w:rsid w:val="00651566"/>
    <w:rsid w:val="00651A90"/>
    <w:rsid w:val="0065332E"/>
    <w:rsid w:val="00654837"/>
    <w:rsid w:val="006567C2"/>
    <w:rsid w:val="006627F5"/>
    <w:rsid w:val="00665B08"/>
    <w:rsid w:val="006660C6"/>
    <w:rsid w:val="00666BA8"/>
    <w:rsid w:val="00670D28"/>
    <w:rsid w:val="006720AC"/>
    <w:rsid w:val="00676BAD"/>
    <w:rsid w:val="00677112"/>
    <w:rsid w:val="006779A8"/>
    <w:rsid w:val="00677DBD"/>
    <w:rsid w:val="006906EA"/>
    <w:rsid w:val="00690861"/>
    <w:rsid w:val="0069352B"/>
    <w:rsid w:val="00695CA4"/>
    <w:rsid w:val="006973E4"/>
    <w:rsid w:val="00697AF9"/>
    <w:rsid w:val="006A5EFA"/>
    <w:rsid w:val="006A6CD3"/>
    <w:rsid w:val="006B0562"/>
    <w:rsid w:val="006B2339"/>
    <w:rsid w:val="006B7657"/>
    <w:rsid w:val="006C2FDB"/>
    <w:rsid w:val="006D19AE"/>
    <w:rsid w:val="006D19CA"/>
    <w:rsid w:val="006D1C01"/>
    <w:rsid w:val="006D2119"/>
    <w:rsid w:val="006D4F04"/>
    <w:rsid w:val="006D5AD8"/>
    <w:rsid w:val="006D6079"/>
    <w:rsid w:val="006D6CD1"/>
    <w:rsid w:val="006D7CC8"/>
    <w:rsid w:val="006E0045"/>
    <w:rsid w:val="006E2266"/>
    <w:rsid w:val="006E2C28"/>
    <w:rsid w:val="006E633E"/>
    <w:rsid w:val="006E6597"/>
    <w:rsid w:val="006F1D84"/>
    <w:rsid w:val="006F4625"/>
    <w:rsid w:val="006F5558"/>
    <w:rsid w:val="006F769D"/>
    <w:rsid w:val="006F7C66"/>
    <w:rsid w:val="00712B76"/>
    <w:rsid w:val="007132D9"/>
    <w:rsid w:val="00713BB4"/>
    <w:rsid w:val="00715180"/>
    <w:rsid w:val="00715F6F"/>
    <w:rsid w:val="00716F1A"/>
    <w:rsid w:val="0072106B"/>
    <w:rsid w:val="00722C15"/>
    <w:rsid w:val="00723BC0"/>
    <w:rsid w:val="007268E1"/>
    <w:rsid w:val="00726C13"/>
    <w:rsid w:val="00730616"/>
    <w:rsid w:val="00732870"/>
    <w:rsid w:val="00735B1B"/>
    <w:rsid w:val="007374DC"/>
    <w:rsid w:val="00742219"/>
    <w:rsid w:val="00746A90"/>
    <w:rsid w:val="007471C9"/>
    <w:rsid w:val="00752A12"/>
    <w:rsid w:val="007547CD"/>
    <w:rsid w:val="007573CE"/>
    <w:rsid w:val="0076003E"/>
    <w:rsid w:val="00761CD0"/>
    <w:rsid w:val="00761F33"/>
    <w:rsid w:val="007630D6"/>
    <w:rsid w:val="00763293"/>
    <w:rsid w:val="007662FB"/>
    <w:rsid w:val="00767F50"/>
    <w:rsid w:val="00782528"/>
    <w:rsid w:val="00782EFA"/>
    <w:rsid w:val="00792242"/>
    <w:rsid w:val="00795C92"/>
    <w:rsid w:val="007975D0"/>
    <w:rsid w:val="007A0379"/>
    <w:rsid w:val="007A5A6F"/>
    <w:rsid w:val="007A6978"/>
    <w:rsid w:val="007A7534"/>
    <w:rsid w:val="007B04C0"/>
    <w:rsid w:val="007B1B88"/>
    <w:rsid w:val="007B2AD0"/>
    <w:rsid w:val="007B31A9"/>
    <w:rsid w:val="007B3407"/>
    <w:rsid w:val="007B3841"/>
    <w:rsid w:val="007B3D3B"/>
    <w:rsid w:val="007B4B3A"/>
    <w:rsid w:val="007B5256"/>
    <w:rsid w:val="007B5D25"/>
    <w:rsid w:val="007B653D"/>
    <w:rsid w:val="007B6ED1"/>
    <w:rsid w:val="007B7CD4"/>
    <w:rsid w:val="007C063C"/>
    <w:rsid w:val="007C11A6"/>
    <w:rsid w:val="007C7DAA"/>
    <w:rsid w:val="007D1E68"/>
    <w:rsid w:val="007D2097"/>
    <w:rsid w:val="007D2D48"/>
    <w:rsid w:val="007D321E"/>
    <w:rsid w:val="007D73E7"/>
    <w:rsid w:val="007E0726"/>
    <w:rsid w:val="007E078C"/>
    <w:rsid w:val="007E2AE8"/>
    <w:rsid w:val="007E3758"/>
    <w:rsid w:val="007F1928"/>
    <w:rsid w:val="007F4A89"/>
    <w:rsid w:val="007F4E3D"/>
    <w:rsid w:val="007F669C"/>
    <w:rsid w:val="00800C81"/>
    <w:rsid w:val="008018F2"/>
    <w:rsid w:val="00806573"/>
    <w:rsid w:val="00806810"/>
    <w:rsid w:val="00807106"/>
    <w:rsid w:val="008078B3"/>
    <w:rsid w:val="00807F42"/>
    <w:rsid w:val="00811FBB"/>
    <w:rsid w:val="00813FE7"/>
    <w:rsid w:val="0081422E"/>
    <w:rsid w:val="008173FA"/>
    <w:rsid w:val="00820FC8"/>
    <w:rsid w:val="00821DF5"/>
    <w:rsid w:val="00824842"/>
    <w:rsid w:val="00825E61"/>
    <w:rsid w:val="008273E5"/>
    <w:rsid w:val="00831577"/>
    <w:rsid w:val="00831866"/>
    <w:rsid w:val="00832F0E"/>
    <w:rsid w:val="00833DF8"/>
    <w:rsid w:val="0084504F"/>
    <w:rsid w:val="00845DD4"/>
    <w:rsid w:val="0085761F"/>
    <w:rsid w:val="00861D09"/>
    <w:rsid w:val="00863384"/>
    <w:rsid w:val="00863F7A"/>
    <w:rsid w:val="008733B5"/>
    <w:rsid w:val="008734F7"/>
    <w:rsid w:val="00875B72"/>
    <w:rsid w:val="00880D7A"/>
    <w:rsid w:val="00885C88"/>
    <w:rsid w:val="0089011A"/>
    <w:rsid w:val="00890699"/>
    <w:rsid w:val="008908B3"/>
    <w:rsid w:val="00891E1C"/>
    <w:rsid w:val="00892892"/>
    <w:rsid w:val="008958E2"/>
    <w:rsid w:val="008A1D54"/>
    <w:rsid w:val="008A445F"/>
    <w:rsid w:val="008A7CF4"/>
    <w:rsid w:val="008B06BB"/>
    <w:rsid w:val="008B3E6B"/>
    <w:rsid w:val="008B4117"/>
    <w:rsid w:val="008B4C78"/>
    <w:rsid w:val="008B5FB9"/>
    <w:rsid w:val="008B73C9"/>
    <w:rsid w:val="008C0C32"/>
    <w:rsid w:val="008C3F06"/>
    <w:rsid w:val="008C40FE"/>
    <w:rsid w:val="008E0E19"/>
    <w:rsid w:val="008E126A"/>
    <w:rsid w:val="008E1AF8"/>
    <w:rsid w:val="008E409C"/>
    <w:rsid w:val="008E4419"/>
    <w:rsid w:val="008E72E2"/>
    <w:rsid w:val="008F5607"/>
    <w:rsid w:val="008F5F99"/>
    <w:rsid w:val="008F6181"/>
    <w:rsid w:val="008F7EBF"/>
    <w:rsid w:val="009012B2"/>
    <w:rsid w:val="00904A9E"/>
    <w:rsid w:val="00904DBA"/>
    <w:rsid w:val="00906C81"/>
    <w:rsid w:val="00906CCD"/>
    <w:rsid w:val="0091007C"/>
    <w:rsid w:val="00910C0B"/>
    <w:rsid w:val="00913827"/>
    <w:rsid w:val="00923F08"/>
    <w:rsid w:val="00925965"/>
    <w:rsid w:val="009302C9"/>
    <w:rsid w:val="009305A9"/>
    <w:rsid w:val="00930B3E"/>
    <w:rsid w:val="00930F2B"/>
    <w:rsid w:val="00930FBD"/>
    <w:rsid w:val="009321D4"/>
    <w:rsid w:val="00932AE5"/>
    <w:rsid w:val="00933AF9"/>
    <w:rsid w:val="009345A9"/>
    <w:rsid w:val="0093564B"/>
    <w:rsid w:val="00940B95"/>
    <w:rsid w:val="009416E9"/>
    <w:rsid w:val="00942C17"/>
    <w:rsid w:val="009467E5"/>
    <w:rsid w:val="00947832"/>
    <w:rsid w:val="00952AE6"/>
    <w:rsid w:val="009573E2"/>
    <w:rsid w:val="009578D3"/>
    <w:rsid w:val="0096008D"/>
    <w:rsid w:val="00963572"/>
    <w:rsid w:val="00963DDB"/>
    <w:rsid w:val="00963F99"/>
    <w:rsid w:val="00965DDE"/>
    <w:rsid w:val="009672BF"/>
    <w:rsid w:val="0097511B"/>
    <w:rsid w:val="00975845"/>
    <w:rsid w:val="0097795F"/>
    <w:rsid w:val="00983070"/>
    <w:rsid w:val="009853C4"/>
    <w:rsid w:val="00986518"/>
    <w:rsid w:val="00986AC5"/>
    <w:rsid w:val="00991076"/>
    <w:rsid w:val="00991535"/>
    <w:rsid w:val="00997470"/>
    <w:rsid w:val="00997CBD"/>
    <w:rsid w:val="009A057C"/>
    <w:rsid w:val="009A0FD4"/>
    <w:rsid w:val="009A118B"/>
    <w:rsid w:val="009A2E7D"/>
    <w:rsid w:val="009A47D5"/>
    <w:rsid w:val="009A77DA"/>
    <w:rsid w:val="009A7DA3"/>
    <w:rsid w:val="009B1526"/>
    <w:rsid w:val="009B2BB1"/>
    <w:rsid w:val="009B2F72"/>
    <w:rsid w:val="009B60A4"/>
    <w:rsid w:val="009C10A5"/>
    <w:rsid w:val="009C1583"/>
    <w:rsid w:val="009C18CF"/>
    <w:rsid w:val="009C29BB"/>
    <w:rsid w:val="009C43C2"/>
    <w:rsid w:val="009C6580"/>
    <w:rsid w:val="009D02D8"/>
    <w:rsid w:val="009D15CE"/>
    <w:rsid w:val="009D1759"/>
    <w:rsid w:val="009D2AD9"/>
    <w:rsid w:val="009D4A98"/>
    <w:rsid w:val="009D68A2"/>
    <w:rsid w:val="009D7913"/>
    <w:rsid w:val="009E7D71"/>
    <w:rsid w:val="009F0012"/>
    <w:rsid w:val="009F0175"/>
    <w:rsid w:val="009F1778"/>
    <w:rsid w:val="009F1E97"/>
    <w:rsid w:val="009F23CA"/>
    <w:rsid w:val="009F2CB8"/>
    <w:rsid w:val="009F3676"/>
    <w:rsid w:val="009F43AF"/>
    <w:rsid w:val="009F4C68"/>
    <w:rsid w:val="009F502D"/>
    <w:rsid w:val="009F686D"/>
    <w:rsid w:val="009F6F55"/>
    <w:rsid w:val="00A0489C"/>
    <w:rsid w:val="00A04D23"/>
    <w:rsid w:val="00A1176F"/>
    <w:rsid w:val="00A12186"/>
    <w:rsid w:val="00A12448"/>
    <w:rsid w:val="00A12485"/>
    <w:rsid w:val="00A14E01"/>
    <w:rsid w:val="00A156B0"/>
    <w:rsid w:val="00A20043"/>
    <w:rsid w:val="00A2170D"/>
    <w:rsid w:val="00A23773"/>
    <w:rsid w:val="00A2420F"/>
    <w:rsid w:val="00A2750C"/>
    <w:rsid w:val="00A30D0F"/>
    <w:rsid w:val="00A3504B"/>
    <w:rsid w:val="00A438DB"/>
    <w:rsid w:val="00A4406E"/>
    <w:rsid w:val="00A4482A"/>
    <w:rsid w:val="00A45813"/>
    <w:rsid w:val="00A45DB6"/>
    <w:rsid w:val="00A47554"/>
    <w:rsid w:val="00A51612"/>
    <w:rsid w:val="00A51849"/>
    <w:rsid w:val="00A54326"/>
    <w:rsid w:val="00A547AC"/>
    <w:rsid w:val="00A57B56"/>
    <w:rsid w:val="00A617ED"/>
    <w:rsid w:val="00A631AB"/>
    <w:rsid w:val="00A63CA2"/>
    <w:rsid w:val="00A6611A"/>
    <w:rsid w:val="00A70601"/>
    <w:rsid w:val="00A717C3"/>
    <w:rsid w:val="00A72DFC"/>
    <w:rsid w:val="00A7578B"/>
    <w:rsid w:val="00A765D1"/>
    <w:rsid w:val="00A76888"/>
    <w:rsid w:val="00A76AAF"/>
    <w:rsid w:val="00A76C32"/>
    <w:rsid w:val="00A81D49"/>
    <w:rsid w:val="00A82E67"/>
    <w:rsid w:val="00A841A5"/>
    <w:rsid w:val="00A85383"/>
    <w:rsid w:val="00A85955"/>
    <w:rsid w:val="00A85DFB"/>
    <w:rsid w:val="00A8740D"/>
    <w:rsid w:val="00A87F3B"/>
    <w:rsid w:val="00A90A63"/>
    <w:rsid w:val="00A948AE"/>
    <w:rsid w:val="00A96644"/>
    <w:rsid w:val="00A97F65"/>
    <w:rsid w:val="00AA5FFC"/>
    <w:rsid w:val="00AA7154"/>
    <w:rsid w:val="00AA7B9D"/>
    <w:rsid w:val="00AB06F0"/>
    <w:rsid w:val="00AB0FEA"/>
    <w:rsid w:val="00AB1237"/>
    <w:rsid w:val="00AB64B4"/>
    <w:rsid w:val="00AB68FF"/>
    <w:rsid w:val="00AC0DE4"/>
    <w:rsid w:val="00AC4151"/>
    <w:rsid w:val="00AC431D"/>
    <w:rsid w:val="00AC50E0"/>
    <w:rsid w:val="00AC5521"/>
    <w:rsid w:val="00AC77A9"/>
    <w:rsid w:val="00AD16AF"/>
    <w:rsid w:val="00AD51BF"/>
    <w:rsid w:val="00AE4818"/>
    <w:rsid w:val="00AE5B6B"/>
    <w:rsid w:val="00AE7158"/>
    <w:rsid w:val="00AF2414"/>
    <w:rsid w:val="00AF4850"/>
    <w:rsid w:val="00AF6DA4"/>
    <w:rsid w:val="00B03755"/>
    <w:rsid w:val="00B04469"/>
    <w:rsid w:val="00B05D64"/>
    <w:rsid w:val="00B079DF"/>
    <w:rsid w:val="00B109A2"/>
    <w:rsid w:val="00B10D8F"/>
    <w:rsid w:val="00B12223"/>
    <w:rsid w:val="00B21B64"/>
    <w:rsid w:val="00B23AC3"/>
    <w:rsid w:val="00B248C5"/>
    <w:rsid w:val="00B25B80"/>
    <w:rsid w:val="00B3163E"/>
    <w:rsid w:val="00B31BF9"/>
    <w:rsid w:val="00B346FF"/>
    <w:rsid w:val="00B370D9"/>
    <w:rsid w:val="00B406BD"/>
    <w:rsid w:val="00B40FDA"/>
    <w:rsid w:val="00B4687A"/>
    <w:rsid w:val="00B515BC"/>
    <w:rsid w:val="00B557DD"/>
    <w:rsid w:val="00B6413D"/>
    <w:rsid w:val="00B6429B"/>
    <w:rsid w:val="00B64829"/>
    <w:rsid w:val="00B64948"/>
    <w:rsid w:val="00B66BA5"/>
    <w:rsid w:val="00B7208A"/>
    <w:rsid w:val="00B830FC"/>
    <w:rsid w:val="00B868D7"/>
    <w:rsid w:val="00B90D19"/>
    <w:rsid w:val="00B914C7"/>
    <w:rsid w:val="00B91B08"/>
    <w:rsid w:val="00B957EB"/>
    <w:rsid w:val="00BA2763"/>
    <w:rsid w:val="00BA497B"/>
    <w:rsid w:val="00BA5C26"/>
    <w:rsid w:val="00BA6F4E"/>
    <w:rsid w:val="00BB112B"/>
    <w:rsid w:val="00BB15B8"/>
    <w:rsid w:val="00BB6B2F"/>
    <w:rsid w:val="00BC3FD1"/>
    <w:rsid w:val="00BC5298"/>
    <w:rsid w:val="00BC66DD"/>
    <w:rsid w:val="00BD34AD"/>
    <w:rsid w:val="00BD589A"/>
    <w:rsid w:val="00BD6332"/>
    <w:rsid w:val="00BE0726"/>
    <w:rsid w:val="00BE158E"/>
    <w:rsid w:val="00BE1B43"/>
    <w:rsid w:val="00BE1F31"/>
    <w:rsid w:val="00BE4FBC"/>
    <w:rsid w:val="00BE6050"/>
    <w:rsid w:val="00BF061C"/>
    <w:rsid w:val="00BF302A"/>
    <w:rsid w:val="00BF64B4"/>
    <w:rsid w:val="00C066BC"/>
    <w:rsid w:val="00C122B3"/>
    <w:rsid w:val="00C123A7"/>
    <w:rsid w:val="00C12CCD"/>
    <w:rsid w:val="00C12E1C"/>
    <w:rsid w:val="00C15C2D"/>
    <w:rsid w:val="00C161CF"/>
    <w:rsid w:val="00C17929"/>
    <w:rsid w:val="00C23E3F"/>
    <w:rsid w:val="00C257BE"/>
    <w:rsid w:val="00C277D3"/>
    <w:rsid w:val="00C27D43"/>
    <w:rsid w:val="00C30C27"/>
    <w:rsid w:val="00C3616B"/>
    <w:rsid w:val="00C443FF"/>
    <w:rsid w:val="00C45518"/>
    <w:rsid w:val="00C45A77"/>
    <w:rsid w:val="00C47DF0"/>
    <w:rsid w:val="00C532C2"/>
    <w:rsid w:val="00C54004"/>
    <w:rsid w:val="00C558C8"/>
    <w:rsid w:val="00C55F99"/>
    <w:rsid w:val="00C57113"/>
    <w:rsid w:val="00C6037C"/>
    <w:rsid w:val="00C6090E"/>
    <w:rsid w:val="00C66DDD"/>
    <w:rsid w:val="00C67153"/>
    <w:rsid w:val="00C67475"/>
    <w:rsid w:val="00C700D9"/>
    <w:rsid w:val="00C706CE"/>
    <w:rsid w:val="00C72BE2"/>
    <w:rsid w:val="00C74367"/>
    <w:rsid w:val="00C771D5"/>
    <w:rsid w:val="00C77A53"/>
    <w:rsid w:val="00C815AB"/>
    <w:rsid w:val="00C81BEB"/>
    <w:rsid w:val="00C828EB"/>
    <w:rsid w:val="00C82D8C"/>
    <w:rsid w:val="00C927AE"/>
    <w:rsid w:val="00C9555F"/>
    <w:rsid w:val="00CA0C3F"/>
    <w:rsid w:val="00CA7293"/>
    <w:rsid w:val="00CB06BF"/>
    <w:rsid w:val="00CB0781"/>
    <w:rsid w:val="00CB233F"/>
    <w:rsid w:val="00CB2579"/>
    <w:rsid w:val="00CB3057"/>
    <w:rsid w:val="00CB42FA"/>
    <w:rsid w:val="00CB5155"/>
    <w:rsid w:val="00CB5EBA"/>
    <w:rsid w:val="00CB669D"/>
    <w:rsid w:val="00CC0134"/>
    <w:rsid w:val="00CC09AB"/>
    <w:rsid w:val="00CC45EB"/>
    <w:rsid w:val="00CC56E4"/>
    <w:rsid w:val="00CC66A5"/>
    <w:rsid w:val="00CC7797"/>
    <w:rsid w:val="00CD30D2"/>
    <w:rsid w:val="00CD4CC5"/>
    <w:rsid w:val="00CD5968"/>
    <w:rsid w:val="00CD5C3F"/>
    <w:rsid w:val="00CD6D44"/>
    <w:rsid w:val="00CE2400"/>
    <w:rsid w:val="00CF1625"/>
    <w:rsid w:val="00CF1E00"/>
    <w:rsid w:val="00CF2AEF"/>
    <w:rsid w:val="00CF3C09"/>
    <w:rsid w:val="00CF648D"/>
    <w:rsid w:val="00CF6DF7"/>
    <w:rsid w:val="00D07CDF"/>
    <w:rsid w:val="00D164F2"/>
    <w:rsid w:val="00D2358D"/>
    <w:rsid w:val="00D25FF7"/>
    <w:rsid w:val="00D27709"/>
    <w:rsid w:val="00D3267E"/>
    <w:rsid w:val="00D32961"/>
    <w:rsid w:val="00D33A78"/>
    <w:rsid w:val="00D3701E"/>
    <w:rsid w:val="00D40BCB"/>
    <w:rsid w:val="00D47464"/>
    <w:rsid w:val="00D47675"/>
    <w:rsid w:val="00D511F7"/>
    <w:rsid w:val="00D519E0"/>
    <w:rsid w:val="00D54273"/>
    <w:rsid w:val="00D55147"/>
    <w:rsid w:val="00D57482"/>
    <w:rsid w:val="00D60CCD"/>
    <w:rsid w:val="00D614CB"/>
    <w:rsid w:val="00D62866"/>
    <w:rsid w:val="00D6746F"/>
    <w:rsid w:val="00D675D3"/>
    <w:rsid w:val="00D7082A"/>
    <w:rsid w:val="00D73509"/>
    <w:rsid w:val="00D760D0"/>
    <w:rsid w:val="00D76D69"/>
    <w:rsid w:val="00D76F40"/>
    <w:rsid w:val="00D777E6"/>
    <w:rsid w:val="00D801A9"/>
    <w:rsid w:val="00D80721"/>
    <w:rsid w:val="00D84AAF"/>
    <w:rsid w:val="00D85F58"/>
    <w:rsid w:val="00D86332"/>
    <w:rsid w:val="00D87788"/>
    <w:rsid w:val="00D87821"/>
    <w:rsid w:val="00D92610"/>
    <w:rsid w:val="00D92F7A"/>
    <w:rsid w:val="00D93BDD"/>
    <w:rsid w:val="00DA000B"/>
    <w:rsid w:val="00DA0A06"/>
    <w:rsid w:val="00DA3543"/>
    <w:rsid w:val="00DA7AFB"/>
    <w:rsid w:val="00DB168F"/>
    <w:rsid w:val="00DB1DE7"/>
    <w:rsid w:val="00DB47AA"/>
    <w:rsid w:val="00DB4C6D"/>
    <w:rsid w:val="00DB4D62"/>
    <w:rsid w:val="00DC293E"/>
    <w:rsid w:val="00DC2DAD"/>
    <w:rsid w:val="00DC4345"/>
    <w:rsid w:val="00DD1E82"/>
    <w:rsid w:val="00DD3AC4"/>
    <w:rsid w:val="00DE5911"/>
    <w:rsid w:val="00DF45D4"/>
    <w:rsid w:val="00DF4CCA"/>
    <w:rsid w:val="00DF6DFA"/>
    <w:rsid w:val="00E00071"/>
    <w:rsid w:val="00E039A5"/>
    <w:rsid w:val="00E06469"/>
    <w:rsid w:val="00E10E66"/>
    <w:rsid w:val="00E1295B"/>
    <w:rsid w:val="00E13223"/>
    <w:rsid w:val="00E14904"/>
    <w:rsid w:val="00E1588F"/>
    <w:rsid w:val="00E16852"/>
    <w:rsid w:val="00E16EDB"/>
    <w:rsid w:val="00E25226"/>
    <w:rsid w:val="00E25355"/>
    <w:rsid w:val="00E272E8"/>
    <w:rsid w:val="00E33AA9"/>
    <w:rsid w:val="00E36322"/>
    <w:rsid w:val="00E37886"/>
    <w:rsid w:val="00E423D1"/>
    <w:rsid w:val="00E44DB5"/>
    <w:rsid w:val="00E45536"/>
    <w:rsid w:val="00E46FBC"/>
    <w:rsid w:val="00E47A68"/>
    <w:rsid w:val="00E50670"/>
    <w:rsid w:val="00E536F4"/>
    <w:rsid w:val="00E601D2"/>
    <w:rsid w:val="00E637F0"/>
    <w:rsid w:val="00E65854"/>
    <w:rsid w:val="00E73F70"/>
    <w:rsid w:val="00E7426C"/>
    <w:rsid w:val="00E74B35"/>
    <w:rsid w:val="00E757A0"/>
    <w:rsid w:val="00E75EC5"/>
    <w:rsid w:val="00E76CDF"/>
    <w:rsid w:val="00E81245"/>
    <w:rsid w:val="00E81C51"/>
    <w:rsid w:val="00E82339"/>
    <w:rsid w:val="00E829C8"/>
    <w:rsid w:val="00E8473D"/>
    <w:rsid w:val="00E84F6E"/>
    <w:rsid w:val="00E8535B"/>
    <w:rsid w:val="00E86F8E"/>
    <w:rsid w:val="00E908F9"/>
    <w:rsid w:val="00E91E2A"/>
    <w:rsid w:val="00E920BA"/>
    <w:rsid w:val="00E92EE2"/>
    <w:rsid w:val="00E955EC"/>
    <w:rsid w:val="00E95A52"/>
    <w:rsid w:val="00E97B7F"/>
    <w:rsid w:val="00EA055E"/>
    <w:rsid w:val="00EA19A7"/>
    <w:rsid w:val="00EA2208"/>
    <w:rsid w:val="00EA324F"/>
    <w:rsid w:val="00EA447A"/>
    <w:rsid w:val="00EA634A"/>
    <w:rsid w:val="00EA65AE"/>
    <w:rsid w:val="00EB02B3"/>
    <w:rsid w:val="00EB04F8"/>
    <w:rsid w:val="00EB19E7"/>
    <w:rsid w:val="00EB4A14"/>
    <w:rsid w:val="00EB51B3"/>
    <w:rsid w:val="00EB64BC"/>
    <w:rsid w:val="00EB6791"/>
    <w:rsid w:val="00EB6F1D"/>
    <w:rsid w:val="00EC3B6A"/>
    <w:rsid w:val="00EC7B9F"/>
    <w:rsid w:val="00ED11B4"/>
    <w:rsid w:val="00ED6FC7"/>
    <w:rsid w:val="00EE2BF8"/>
    <w:rsid w:val="00EE5DC1"/>
    <w:rsid w:val="00EE76B8"/>
    <w:rsid w:val="00EF07BB"/>
    <w:rsid w:val="00EF163F"/>
    <w:rsid w:val="00EF4E56"/>
    <w:rsid w:val="00EF7D5E"/>
    <w:rsid w:val="00F0086E"/>
    <w:rsid w:val="00F04332"/>
    <w:rsid w:val="00F04FA4"/>
    <w:rsid w:val="00F05171"/>
    <w:rsid w:val="00F06B5D"/>
    <w:rsid w:val="00F06CFD"/>
    <w:rsid w:val="00F111F1"/>
    <w:rsid w:val="00F14087"/>
    <w:rsid w:val="00F1796C"/>
    <w:rsid w:val="00F21891"/>
    <w:rsid w:val="00F2263D"/>
    <w:rsid w:val="00F22DD7"/>
    <w:rsid w:val="00F265DE"/>
    <w:rsid w:val="00F26AF4"/>
    <w:rsid w:val="00F30CF3"/>
    <w:rsid w:val="00F31700"/>
    <w:rsid w:val="00F36B8E"/>
    <w:rsid w:val="00F3796C"/>
    <w:rsid w:val="00F42100"/>
    <w:rsid w:val="00F4416B"/>
    <w:rsid w:val="00F44379"/>
    <w:rsid w:val="00F44E6E"/>
    <w:rsid w:val="00F52023"/>
    <w:rsid w:val="00F53B46"/>
    <w:rsid w:val="00F556EC"/>
    <w:rsid w:val="00F61E86"/>
    <w:rsid w:val="00F6407C"/>
    <w:rsid w:val="00F65A6F"/>
    <w:rsid w:val="00F745AF"/>
    <w:rsid w:val="00F76EA5"/>
    <w:rsid w:val="00F8272A"/>
    <w:rsid w:val="00F841E2"/>
    <w:rsid w:val="00F8437A"/>
    <w:rsid w:val="00F86EF5"/>
    <w:rsid w:val="00F9025F"/>
    <w:rsid w:val="00F9053C"/>
    <w:rsid w:val="00F94601"/>
    <w:rsid w:val="00F97047"/>
    <w:rsid w:val="00FA0972"/>
    <w:rsid w:val="00FA1AE6"/>
    <w:rsid w:val="00FA2F7C"/>
    <w:rsid w:val="00FA6BA6"/>
    <w:rsid w:val="00FB38DC"/>
    <w:rsid w:val="00FB5820"/>
    <w:rsid w:val="00FB65A7"/>
    <w:rsid w:val="00FB6A15"/>
    <w:rsid w:val="00FB7904"/>
    <w:rsid w:val="00FC5B0D"/>
    <w:rsid w:val="00FC7A4F"/>
    <w:rsid w:val="00FD3661"/>
    <w:rsid w:val="00FD3714"/>
    <w:rsid w:val="00FD39EA"/>
    <w:rsid w:val="00FD5B25"/>
    <w:rsid w:val="00FD6999"/>
    <w:rsid w:val="00FD6C17"/>
    <w:rsid w:val="00FE10A1"/>
    <w:rsid w:val="00FE13DA"/>
    <w:rsid w:val="00FE1621"/>
    <w:rsid w:val="00FE1CA0"/>
    <w:rsid w:val="00FE4EE8"/>
    <w:rsid w:val="00FE59F8"/>
    <w:rsid w:val="00FE5D1E"/>
    <w:rsid w:val="00FE5D98"/>
    <w:rsid w:val="00FE7F2F"/>
    <w:rsid w:val="00FF0CB1"/>
    <w:rsid w:val="00FF21A9"/>
    <w:rsid w:val="00FF2D40"/>
    <w:rsid w:val="00FF32B4"/>
    <w:rsid w:val="00FF4490"/>
    <w:rsid w:val="00FF5595"/>
    <w:rsid w:val="00FF6312"/>
    <w:rsid w:val="00FF662D"/>
    <w:rsid w:val="12FCB270"/>
    <w:rsid w:val="29EAC45E"/>
    <w:rsid w:val="2F6E3075"/>
    <w:rsid w:val="3FF4AE9E"/>
    <w:rsid w:val="67462D72"/>
    <w:rsid w:val="70394FA3"/>
    <w:rsid w:val="799CD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C583F"/>
  <w15:chartTrackingRefBased/>
  <w15:docId w15:val="{5C1C42CE-6989-47C1-A637-DA1708B3D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C066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unhideWhenUsed/>
    <w:qFormat/>
    <w:rsid w:val="005929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5929ED"/>
    <w:pPr>
      <w:tabs>
        <w:tab w:val="num" w:pos="864"/>
      </w:tabs>
      <w:spacing w:before="120" w:after="180" w:line="240" w:lineRule="auto"/>
      <w:ind w:left="864" w:hanging="864"/>
      <w:outlineLvl w:val="3"/>
    </w:pPr>
    <w:rPr>
      <w:rFonts w:ascii="Arial" w:eastAsia="SimSun" w:hAnsi="Arial" w:cs="Times New Roman"/>
      <w:color w:val="auto"/>
      <w:szCs w:val="20"/>
      <w:lang w:val="en-GB" w:eastAsia="en-US"/>
    </w:rPr>
  </w:style>
  <w:style w:type="paragraph" w:styleId="Heading5">
    <w:name w:val="heading 5"/>
    <w:basedOn w:val="Heading4"/>
    <w:next w:val="Normal"/>
    <w:link w:val="Heading5Char"/>
    <w:qFormat/>
    <w:rsid w:val="005929ED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929ED"/>
    <w:pPr>
      <w:keepNext/>
      <w:keepLines/>
      <w:tabs>
        <w:tab w:val="num" w:pos="1152"/>
      </w:tabs>
      <w:spacing w:before="120" w:after="180" w:line="240" w:lineRule="auto"/>
      <w:ind w:left="1152" w:hanging="1152"/>
      <w:outlineLvl w:val="5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929ED"/>
    <w:pPr>
      <w:keepNext/>
      <w:keepLines/>
      <w:tabs>
        <w:tab w:val="num" w:pos="1296"/>
      </w:tabs>
      <w:spacing w:before="120" w:after="180" w:line="240" w:lineRule="auto"/>
      <w:ind w:left="1296" w:hanging="1296"/>
      <w:outlineLvl w:val="6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5929ED"/>
    <w:pPr>
      <w:tabs>
        <w:tab w:val="num" w:pos="1440"/>
      </w:tabs>
      <w:overflowPunct/>
      <w:autoSpaceDE/>
      <w:autoSpaceDN/>
      <w:adjustRightInd/>
      <w:ind w:left="1440" w:hanging="1440"/>
      <w:textAlignment w:val="auto"/>
      <w:outlineLvl w:val="7"/>
    </w:pPr>
    <w:rPr>
      <w:rFonts w:eastAsia="SimSun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5929E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aliases w:val="TableGrid"/>
    <w:basedOn w:val="TableNormal"/>
    <w:qFormat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CommentReference">
    <w:name w:val="annotation reference"/>
    <w:uiPriority w:val="99"/>
    <w:semiHidden/>
    <w:unhideWhenUsed/>
    <w:rsid w:val="00F06B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6B5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6B5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6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2-Accent3">
    <w:name w:val="Grid Table 2 Accent 3"/>
    <w:basedOn w:val="TableNormal"/>
    <w:uiPriority w:val="47"/>
    <w:rsid w:val="009F001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050"/>
    <w:pPr>
      <w:spacing w:after="160"/>
    </w:pPr>
    <w:rPr>
      <w:rFonts w:asciiTheme="minorHAnsi" w:eastAsiaTheme="minorEastAsia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050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051EC6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3-Accent3">
    <w:name w:val="Grid Table 3 Accent 3"/>
    <w:basedOn w:val="TableNormal"/>
    <w:uiPriority w:val="48"/>
    <w:rsid w:val="00E33AA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semiHidden/>
    <w:rsid w:val="005929E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929ED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29ED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table" w:customStyle="1" w:styleId="1">
    <w:name w:val="网格型1"/>
    <w:basedOn w:val="TableNormal"/>
    <w:next w:val="TableGrid"/>
    <w:qFormat/>
    <w:rsid w:val="00E536F4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477BF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H">
    <w:name w:val="TAH"/>
    <w:basedOn w:val="TAC"/>
    <w:link w:val="TAHCar"/>
    <w:qFormat/>
    <w:rsid w:val="00BF061C"/>
    <w:rPr>
      <w:b/>
    </w:rPr>
  </w:style>
  <w:style w:type="paragraph" w:customStyle="1" w:styleId="TAC">
    <w:name w:val="TAC"/>
    <w:basedOn w:val="Normal"/>
    <w:link w:val="TACChar"/>
    <w:qFormat/>
    <w:rsid w:val="00BF061C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BF061C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BF061C"/>
    <w:rPr>
      <w:rFonts w:ascii="Arial" w:eastAsia="Times New Roman" w:hAnsi="Arial" w:cs="Times New Roman"/>
      <w:b/>
      <w:sz w:val="18"/>
      <w:szCs w:val="20"/>
      <w:lang w:val="en-GB" w:eastAsia="en-US"/>
    </w:rPr>
  </w:style>
  <w:style w:type="table" w:customStyle="1" w:styleId="TableGrid1">
    <w:name w:val="TableGrid1"/>
    <w:basedOn w:val="TableNormal"/>
    <w:next w:val="TableGrid"/>
    <w:uiPriority w:val="59"/>
    <w:qFormat/>
    <w:rsid w:val="00203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039A5"/>
    <w:pPr>
      <w:spacing w:after="0" w:line="240" w:lineRule="auto"/>
    </w:pPr>
  </w:style>
  <w:style w:type="paragraph" w:customStyle="1" w:styleId="Proposal">
    <w:name w:val="Proposal"/>
    <w:basedOn w:val="BodyText"/>
    <w:link w:val="ProposalChar"/>
    <w:qFormat/>
    <w:rsid w:val="006D6CD1"/>
    <w:pPr>
      <w:tabs>
        <w:tab w:val="left" w:pos="1701"/>
      </w:tabs>
      <w:ind w:left="1701" w:hanging="1701"/>
      <w:jc w:val="both"/>
    </w:pPr>
    <w:rPr>
      <w:rFonts w:ascii="Arial" w:eastAsiaTheme="minorHAnsi" w:hAnsi="Arial"/>
      <w:b/>
      <w:bCs/>
      <w:sz w:val="20"/>
    </w:rPr>
  </w:style>
  <w:style w:type="character" w:customStyle="1" w:styleId="ProposalChar">
    <w:name w:val="Proposal Char"/>
    <w:basedOn w:val="DefaultParagraphFont"/>
    <w:link w:val="Proposal"/>
    <w:rsid w:val="006D6CD1"/>
    <w:rPr>
      <w:rFonts w:ascii="Arial" w:eastAsiaTheme="minorHAnsi" w:hAnsi="Arial"/>
      <w:b/>
      <w:bCs/>
      <w:sz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6D6CD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D6CD1"/>
  </w:style>
  <w:style w:type="character" w:customStyle="1" w:styleId="TALCar">
    <w:name w:val="TAL Car"/>
    <w:link w:val="TAL"/>
    <w:locked/>
    <w:rsid w:val="00F06CFD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F06CFD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paragraph" w:customStyle="1" w:styleId="TH">
    <w:name w:val="TH"/>
    <w:basedOn w:val="Normal"/>
    <w:link w:val="THChar"/>
    <w:qFormat/>
    <w:rsid w:val="00F06CFD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F06CFD"/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maintextChar">
    <w:name w:val="main text Char"/>
    <w:link w:val="maintext"/>
    <w:qFormat/>
    <w:locked/>
    <w:rsid w:val="000A1A7D"/>
    <w:rPr>
      <w:rFonts w:eastAsia="Malgun Gothic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0A1A7D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85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25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16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56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5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9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5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20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04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7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0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9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67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4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5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42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75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13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22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4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3C8719-683E-4EF4-B458-7D0F83DE34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56FE39-B8C8-42C4-800D-90957DBBBD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A062D11-C45A-4421-96A9-42EEF1B9ABC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7BF2201-1B46-4334-ACD5-A8E2912E9B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3</Pages>
  <Words>875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 - Ericsson</cp:lastModifiedBy>
  <cp:revision>448</cp:revision>
  <dcterms:created xsi:type="dcterms:W3CDTF">2023-04-03T09:03:00Z</dcterms:created>
  <dcterms:modified xsi:type="dcterms:W3CDTF">2023-11-03T07:45:00Z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